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C3ECD" w14:textId="35ED421B" w:rsidR="005658FF" w:rsidRPr="008472B2" w:rsidRDefault="000540FA" w:rsidP="005658FF">
      <w:pPr>
        <w:rPr>
          <w:rFonts w:ascii="Calibri" w:hAnsi="Calibri" w:cs="Calibri"/>
        </w:rPr>
      </w:pPr>
      <w:bookmarkStart w:id="0" w:name="_Hlk61356691"/>
      <w:r>
        <w:rPr>
          <w:rFonts w:ascii="Calibri" w:hAnsi="Calibri" w:cs="Calibri"/>
        </w:rPr>
        <w:t xml:space="preserve">MONTH, DAY, </w:t>
      </w:r>
      <w:r w:rsidR="00E811D9" w:rsidRPr="008472B2">
        <w:rPr>
          <w:rFonts w:ascii="Calibri" w:hAnsi="Calibri" w:cs="Calibri"/>
        </w:rPr>
        <w:t>2023</w:t>
      </w:r>
    </w:p>
    <w:p w14:paraId="65A22F8A" w14:textId="77777777" w:rsidR="005658FF" w:rsidRPr="008472B2" w:rsidRDefault="005658FF" w:rsidP="005658FF">
      <w:pPr>
        <w:rPr>
          <w:rFonts w:ascii="Calibri" w:hAnsi="Calibri" w:cs="Calibri"/>
        </w:rPr>
      </w:pPr>
    </w:p>
    <w:p w14:paraId="1A069EA5" w14:textId="6F3F5C88" w:rsidR="005658FF" w:rsidRPr="008472B2" w:rsidRDefault="005658FF" w:rsidP="005658FF">
      <w:pPr>
        <w:rPr>
          <w:rFonts w:ascii="Calibri" w:hAnsi="Calibri" w:cs="Calibri"/>
        </w:rPr>
      </w:pPr>
      <w:r w:rsidRPr="008472B2">
        <w:rPr>
          <w:rFonts w:ascii="Calibri" w:hAnsi="Calibri" w:cs="Calibri"/>
        </w:rPr>
        <w:t xml:space="preserve">Dear </w:t>
      </w:r>
      <w:r w:rsidR="00263DDE" w:rsidRPr="008472B2">
        <w:rPr>
          <w:rFonts w:ascii="Calibri" w:hAnsi="Calibri" w:cs="Calibri"/>
        </w:rPr>
        <w:t>______</w:t>
      </w:r>
      <w:r w:rsidR="0045530E">
        <w:rPr>
          <w:rFonts w:ascii="Calibri" w:hAnsi="Calibri" w:cs="Calibri"/>
        </w:rPr>
        <w:t>___</w:t>
      </w:r>
      <w:r w:rsidR="00263DDE" w:rsidRPr="008472B2">
        <w:rPr>
          <w:rFonts w:ascii="Calibri" w:hAnsi="Calibri" w:cs="Calibri"/>
        </w:rPr>
        <w:t>___</w:t>
      </w:r>
      <w:r w:rsidR="00C101A8" w:rsidRPr="008472B2">
        <w:rPr>
          <w:rFonts w:ascii="Calibri" w:hAnsi="Calibri" w:cs="Calibri"/>
        </w:rPr>
        <w:t>,</w:t>
      </w:r>
    </w:p>
    <w:p w14:paraId="0B00EDCC" w14:textId="77777777" w:rsidR="005658FF" w:rsidRPr="008472B2" w:rsidRDefault="005658FF" w:rsidP="005658FF">
      <w:pPr>
        <w:rPr>
          <w:rFonts w:ascii="Calibri" w:hAnsi="Calibri" w:cs="Calibri"/>
        </w:rPr>
      </w:pPr>
    </w:p>
    <w:p w14:paraId="0D148EB9" w14:textId="232D4963" w:rsidR="00E95D43" w:rsidRDefault="0045530E" w:rsidP="0045530E">
      <w:pPr>
        <w:rPr>
          <w:rFonts w:ascii="Calibri" w:hAnsi="Calibri" w:cs="Calibri"/>
        </w:rPr>
      </w:pPr>
      <w:r>
        <w:rPr>
          <w:rFonts w:ascii="Calibri" w:hAnsi="Calibri" w:cs="Calibri"/>
          <w:b/>
        </w:rPr>
        <w:t xml:space="preserve">Congratulations </w:t>
      </w:r>
      <w:r>
        <w:rPr>
          <w:rFonts w:ascii="Calibri" w:hAnsi="Calibri" w:cs="Calibri"/>
        </w:rPr>
        <w:t xml:space="preserve">on your </w:t>
      </w:r>
      <w:r w:rsidRPr="008472B2">
        <w:rPr>
          <w:rFonts w:ascii="Calibri" w:hAnsi="Calibri" w:cs="Calibri"/>
        </w:rPr>
        <w:t>admission</w:t>
      </w:r>
      <w:r>
        <w:rPr>
          <w:rFonts w:ascii="Calibri" w:hAnsi="Calibri" w:cs="Calibri"/>
        </w:rPr>
        <w:t xml:space="preserve"> offer</w:t>
      </w:r>
      <w:r w:rsidRPr="008472B2">
        <w:rPr>
          <w:rFonts w:ascii="Calibri" w:hAnsi="Calibri" w:cs="Calibri"/>
        </w:rPr>
        <w:t xml:space="preserve"> into </w:t>
      </w:r>
      <w:r>
        <w:rPr>
          <w:rFonts w:ascii="Calibri" w:hAnsi="Calibri" w:cs="Calibri"/>
        </w:rPr>
        <w:t>the Department of Anthropology’s graduate program</w:t>
      </w:r>
      <w:r w:rsidRPr="008472B2">
        <w:rPr>
          <w:rFonts w:ascii="Calibri" w:hAnsi="Calibri" w:cs="Calibri"/>
        </w:rPr>
        <w:t xml:space="preserve"> </w:t>
      </w:r>
      <w:r>
        <w:rPr>
          <w:rFonts w:ascii="Calibri" w:hAnsi="Calibri" w:cs="Calibri"/>
        </w:rPr>
        <w:t xml:space="preserve">for </w:t>
      </w:r>
      <w:proofErr w:type="gramStart"/>
      <w:r w:rsidRPr="008472B2">
        <w:rPr>
          <w:rFonts w:ascii="Calibri" w:hAnsi="Calibri" w:cs="Calibri"/>
        </w:rPr>
        <w:t>Fall</w:t>
      </w:r>
      <w:proofErr w:type="gramEnd"/>
      <w:r w:rsidRPr="008472B2">
        <w:rPr>
          <w:rFonts w:ascii="Calibri" w:hAnsi="Calibri" w:cs="Calibri"/>
        </w:rPr>
        <w:t xml:space="preserve"> 2023</w:t>
      </w:r>
      <w:r>
        <w:rPr>
          <w:rFonts w:ascii="Calibri" w:hAnsi="Calibri" w:cs="Calibri"/>
        </w:rPr>
        <w:t xml:space="preserve">. </w:t>
      </w:r>
      <w:r w:rsidRPr="008472B2">
        <w:rPr>
          <w:rFonts w:ascii="Calibri" w:hAnsi="Calibri" w:cs="Calibri"/>
        </w:rPr>
        <w:t>This offer is contingent on y</w:t>
      </w:r>
      <w:r>
        <w:rPr>
          <w:rFonts w:ascii="Calibri" w:hAnsi="Calibri" w:cs="Calibri"/>
        </w:rPr>
        <w:t>our formal admission by UNM’s Office of Admissions.</w:t>
      </w:r>
      <w:r w:rsidR="000540FA">
        <w:rPr>
          <w:rFonts w:ascii="Calibri" w:hAnsi="Calibri" w:cs="Calibri"/>
        </w:rPr>
        <w:t xml:space="preserve"> Given the strength of your application, we would like to offer you a </w:t>
      </w:r>
      <w:r w:rsidR="00E95D43">
        <w:rPr>
          <w:rFonts w:ascii="Calibri" w:hAnsi="Calibri" w:cs="Calibri"/>
        </w:rPr>
        <w:t xml:space="preserve">&lt;.25/.5 FTE&gt; </w:t>
      </w:r>
      <w:r w:rsidR="000540FA">
        <w:rPr>
          <w:rFonts w:ascii="Calibri" w:hAnsi="Calibri" w:cs="Calibri"/>
        </w:rPr>
        <w:t xml:space="preserve">&lt;graduate assistantship </w:t>
      </w:r>
      <w:r w:rsidR="00CD6D76">
        <w:rPr>
          <w:rFonts w:ascii="Calibri" w:hAnsi="Calibri" w:cs="Calibri"/>
        </w:rPr>
        <w:t>(GA)</w:t>
      </w:r>
      <w:r w:rsidR="000540FA">
        <w:rPr>
          <w:rFonts w:ascii="Calibri" w:hAnsi="Calibri" w:cs="Calibri"/>
        </w:rPr>
        <w:t>/research assistantship (RA)&gt; for at least the first year of your graduate program.</w:t>
      </w:r>
      <w:bookmarkEnd w:id="0"/>
      <w:r w:rsidR="00E95D43">
        <w:rPr>
          <w:rFonts w:ascii="Calibri" w:hAnsi="Calibri" w:cs="Calibri"/>
        </w:rPr>
        <w:t xml:space="preserve"> We expect to continue the graduate assistantship </w:t>
      </w:r>
      <w:r w:rsidR="0033107B">
        <w:rPr>
          <w:rFonts w:ascii="Calibri" w:hAnsi="Calibri" w:cs="Calibri"/>
        </w:rPr>
        <w:t>for two</w:t>
      </w:r>
      <w:r w:rsidR="00CC0962">
        <w:rPr>
          <w:rFonts w:ascii="Calibri" w:hAnsi="Calibri" w:cs="Calibri"/>
          <w:vertAlign w:val="superscript"/>
        </w:rPr>
        <w:t>a</w:t>
      </w:r>
      <w:bookmarkStart w:id="1" w:name="_GoBack"/>
      <w:bookmarkEnd w:id="1"/>
      <w:r w:rsidR="00CC0962">
        <w:rPr>
          <w:rFonts w:ascii="Calibri" w:hAnsi="Calibri" w:cs="Calibri"/>
        </w:rPr>
        <w:t xml:space="preserve"> </w:t>
      </w:r>
      <w:r w:rsidR="0033107B">
        <w:rPr>
          <w:rFonts w:ascii="Calibri" w:hAnsi="Calibri" w:cs="Calibri"/>
        </w:rPr>
        <w:t xml:space="preserve">academic years </w:t>
      </w:r>
      <w:r w:rsidR="00E95D43">
        <w:rPr>
          <w:rFonts w:ascii="Calibri" w:hAnsi="Calibri" w:cs="Calibri"/>
        </w:rPr>
        <w:t>beyond the first year, depending on</w:t>
      </w:r>
      <w:r w:rsidR="001246BC">
        <w:rPr>
          <w:rFonts w:ascii="Calibri" w:hAnsi="Calibri" w:cs="Calibri"/>
        </w:rPr>
        <w:t xml:space="preserve"> </w:t>
      </w:r>
      <w:r w:rsidR="00E95D43">
        <w:rPr>
          <w:rFonts w:ascii="Calibri" w:hAnsi="Calibri" w:cs="Calibri"/>
        </w:rPr>
        <w:t xml:space="preserve">performance reviews, </w:t>
      </w:r>
      <w:r w:rsidR="001246BC">
        <w:rPr>
          <w:rFonts w:ascii="Calibri" w:hAnsi="Calibri" w:cs="Calibri"/>
        </w:rPr>
        <w:t xml:space="preserve">maintenance of academic eligibility, and </w:t>
      </w:r>
      <w:r w:rsidR="00E95D43">
        <w:rPr>
          <w:rFonts w:ascii="Calibri" w:hAnsi="Calibri" w:cs="Calibri"/>
        </w:rPr>
        <w:t>budgetary approval.</w:t>
      </w:r>
      <w:r w:rsidR="001246BC">
        <w:rPr>
          <w:rFonts w:ascii="Calibri" w:hAnsi="Calibri" w:cs="Calibri"/>
        </w:rPr>
        <w:t xml:space="preserve"> </w:t>
      </w:r>
    </w:p>
    <w:p w14:paraId="50FC9581" w14:textId="77777777" w:rsidR="00E95D43" w:rsidRDefault="00E95D43" w:rsidP="0045530E">
      <w:pPr>
        <w:rPr>
          <w:rFonts w:ascii="Calibri" w:hAnsi="Calibri" w:cs="Calibri"/>
        </w:rPr>
      </w:pPr>
    </w:p>
    <w:tbl>
      <w:tblPr>
        <w:tblpPr w:leftFromText="180" w:rightFromText="180" w:vertAnchor="text" w:horzAnchor="margin" w:tblpY="2886"/>
        <w:tblW w:w="0" w:type="auto"/>
        <w:tblCellMar>
          <w:left w:w="0" w:type="dxa"/>
          <w:right w:w="0" w:type="dxa"/>
        </w:tblCellMar>
        <w:tblLook w:val="04A0" w:firstRow="1" w:lastRow="0" w:firstColumn="1" w:lastColumn="0" w:noHBand="0" w:noVBand="1"/>
      </w:tblPr>
      <w:tblGrid>
        <w:gridCol w:w="530"/>
        <w:gridCol w:w="1296"/>
        <w:gridCol w:w="897"/>
        <w:gridCol w:w="2571"/>
        <w:gridCol w:w="1818"/>
        <w:gridCol w:w="890"/>
        <w:gridCol w:w="1338"/>
      </w:tblGrid>
      <w:tr w:rsidR="00CC0962" w:rsidRPr="008472B2" w14:paraId="76225B48" w14:textId="77777777" w:rsidTr="00385F04">
        <w:tc>
          <w:tcPr>
            <w:tcW w:w="9340" w:type="dxa"/>
            <w:gridSpan w:val="7"/>
            <w:tcBorders>
              <w:top w:val="single" w:sz="8" w:space="0" w:color="auto"/>
              <w:left w:val="single" w:sz="8" w:space="0" w:color="auto"/>
              <w:bottom w:val="single" w:sz="8" w:space="0" w:color="auto"/>
              <w:right w:val="single" w:sz="8" w:space="0" w:color="auto"/>
            </w:tcBorders>
            <w:shd w:val="clear" w:color="auto" w:fill="EDEDEE" w:themeFill="background2" w:themeFillTint="33"/>
          </w:tcPr>
          <w:p w14:paraId="47E34D89" w14:textId="03A43E0C" w:rsidR="00CC0962" w:rsidRDefault="00CC0962" w:rsidP="00D176A1">
            <w:pPr>
              <w:jc w:val="center"/>
              <w:rPr>
                <w:rFonts w:ascii="Calibri" w:hAnsi="Calibri" w:cs="Calibri"/>
                <w:b/>
                <w:bCs/>
              </w:rPr>
            </w:pPr>
            <w:r>
              <w:rPr>
                <w:rFonts w:ascii="Calibri" w:hAnsi="Calibri" w:cs="Calibri"/>
                <w:b/>
                <w:bCs/>
              </w:rPr>
              <w:t>ASSISTANTSHIP OFFER</w:t>
            </w:r>
          </w:p>
        </w:tc>
      </w:tr>
      <w:tr w:rsidR="00CC0962" w:rsidRPr="008472B2" w14:paraId="6143B7D2" w14:textId="77777777" w:rsidTr="00CC0962">
        <w:tc>
          <w:tcPr>
            <w:tcW w:w="530" w:type="dxa"/>
            <w:tcBorders>
              <w:top w:val="nil"/>
              <w:left w:val="single" w:sz="8" w:space="0" w:color="auto"/>
              <w:bottom w:val="single" w:sz="8" w:space="0" w:color="auto"/>
              <w:right w:val="single" w:sz="8" w:space="0" w:color="auto"/>
            </w:tcBorders>
            <w:shd w:val="clear" w:color="auto" w:fill="EDEDEE" w:themeFill="background2" w:themeFillTint="33"/>
            <w:vAlign w:val="center"/>
          </w:tcPr>
          <w:p w14:paraId="7FB08B02" w14:textId="529458BF" w:rsidR="00CC0962" w:rsidRPr="00474AE8" w:rsidRDefault="00CC0962" w:rsidP="00CC0962">
            <w:pPr>
              <w:jc w:val="center"/>
              <w:rPr>
                <w:rFonts w:ascii="Calibri" w:hAnsi="Calibri" w:cs="Calibri"/>
                <w:b/>
                <w:bCs/>
                <w:sz w:val="22"/>
              </w:rPr>
            </w:pPr>
            <w:r>
              <w:rPr>
                <w:rFonts w:ascii="Calibri" w:hAnsi="Calibri" w:cs="Calibri"/>
                <w:b/>
                <w:bCs/>
                <w:sz w:val="22"/>
              </w:rPr>
              <w:t>Year</w:t>
            </w:r>
          </w:p>
        </w:tc>
        <w:tc>
          <w:tcPr>
            <w:tcW w:w="1296" w:type="dxa"/>
            <w:tcBorders>
              <w:top w:val="nil"/>
              <w:left w:val="single" w:sz="8" w:space="0" w:color="auto"/>
              <w:bottom w:val="single" w:sz="8" w:space="0" w:color="auto"/>
              <w:right w:val="single" w:sz="8" w:space="0" w:color="auto"/>
            </w:tcBorders>
            <w:shd w:val="clear" w:color="auto" w:fill="EDEDEE" w:themeFill="background2" w:themeFillTint="33"/>
            <w:tcMar>
              <w:top w:w="0" w:type="dxa"/>
              <w:left w:w="108" w:type="dxa"/>
              <w:bottom w:w="0" w:type="dxa"/>
              <w:right w:w="108" w:type="dxa"/>
            </w:tcMar>
            <w:vAlign w:val="center"/>
            <w:hideMark/>
          </w:tcPr>
          <w:p w14:paraId="1F14C32F" w14:textId="733CD47C" w:rsidR="00CC0962" w:rsidRPr="00474AE8" w:rsidRDefault="00CC0962" w:rsidP="00CC0962">
            <w:pPr>
              <w:rPr>
                <w:rFonts w:ascii="Calibri" w:hAnsi="Calibri" w:cs="Calibri"/>
                <w:b/>
                <w:bCs/>
                <w:sz w:val="22"/>
              </w:rPr>
            </w:pPr>
            <w:r w:rsidRPr="00474AE8">
              <w:rPr>
                <w:rFonts w:ascii="Calibri" w:hAnsi="Calibri" w:cs="Calibri"/>
                <w:b/>
                <w:bCs/>
                <w:sz w:val="22"/>
              </w:rPr>
              <w:t>Sem/Year</w:t>
            </w:r>
          </w:p>
        </w:tc>
        <w:tc>
          <w:tcPr>
            <w:tcW w:w="897" w:type="dxa"/>
            <w:tcBorders>
              <w:top w:val="nil"/>
              <w:left w:val="nil"/>
              <w:bottom w:val="single" w:sz="8" w:space="0" w:color="auto"/>
              <w:right w:val="single" w:sz="8" w:space="0" w:color="auto"/>
            </w:tcBorders>
            <w:shd w:val="clear" w:color="auto" w:fill="EDEDEE" w:themeFill="background2" w:themeFillTint="33"/>
            <w:tcMar>
              <w:top w:w="0" w:type="dxa"/>
              <w:left w:w="108" w:type="dxa"/>
              <w:bottom w:w="0" w:type="dxa"/>
              <w:right w:w="108" w:type="dxa"/>
            </w:tcMar>
            <w:vAlign w:val="center"/>
            <w:hideMark/>
          </w:tcPr>
          <w:p w14:paraId="7A909672" w14:textId="330357A8" w:rsidR="00CC0962" w:rsidRPr="00474AE8" w:rsidRDefault="00CC0962" w:rsidP="00CC0962">
            <w:pPr>
              <w:rPr>
                <w:rFonts w:ascii="Calibri" w:hAnsi="Calibri" w:cs="Calibri"/>
                <w:b/>
                <w:bCs/>
                <w:sz w:val="22"/>
              </w:rPr>
            </w:pPr>
            <w:r>
              <w:rPr>
                <w:rFonts w:ascii="Calibri" w:hAnsi="Calibri" w:cs="Calibri"/>
                <w:b/>
                <w:bCs/>
                <w:sz w:val="22"/>
              </w:rPr>
              <w:t>Type</w:t>
            </w:r>
          </w:p>
        </w:tc>
        <w:tc>
          <w:tcPr>
            <w:tcW w:w="2571" w:type="dxa"/>
            <w:tcBorders>
              <w:top w:val="nil"/>
              <w:left w:val="nil"/>
              <w:bottom w:val="single" w:sz="8" w:space="0" w:color="auto"/>
              <w:right w:val="single" w:sz="8" w:space="0" w:color="auto"/>
            </w:tcBorders>
            <w:shd w:val="clear" w:color="auto" w:fill="EDEDEE" w:themeFill="background2" w:themeFillTint="33"/>
            <w:tcMar>
              <w:top w:w="0" w:type="dxa"/>
              <w:left w:w="108" w:type="dxa"/>
              <w:bottom w:w="0" w:type="dxa"/>
              <w:right w:w="108" w:type="dxa"/>
            </w:tcMar>
            <w:vAlign w:val="center"/>
            <w:hideMark/>
          </w:tcPr>
          <w:p w14:paraId="17E89258" w14:textId="77777777" w:rsidR="00CC0962" w:rsidRPr="00474AE8" w:rsidRDefault="00CC0962" w:rsidP="00CC0962">
            <w:pPr>
              <w:rPr>
                <w:rFonts w:ascii="Calibri" w:hAnsi="Calibri" w:cs="Calibri"/>
                <w:b/>
                <w:bCs/>
                <w:sz w:val="22"/>
              </w:rPr>
            </w:pPr>
            <w:r w:rsidRPr="00474AE8">
              <w:rPr>
                <w:rFonts w:ascii="Calibri" w:hAnsi="Calibri" w:cs="Calibri"/>
                <w:b/>
                <w:bCs/>
                <w:sz w:val="22"/>
              </w:rPr>
              <w:t>FTE/hours per week</w:t>
            </w:r>
          </w:p>
        </w:tc>
        <w:tc>
          <w:tcPr>
            <w:tcW w:w="1818" w:type="dxa"/>
            <w:tcBorders>
              <w:top w:val="nil"/>
              <w:left w:val="nil"/>
              <w:bottom w:val="single" w:sz="8" w:space="0" w:color="auto"/>
              <w:right w:val="single" w:sz="8" w:space="0" w:color="auto"/>
            </w:tcBorders>
            <w:shd w:val="clear" w:color="auto" w:fill="EDEDEE" w:themeFill="background2" w:themeFillTint="33"/>
            <w:tcMar>
              <w:top w:w="0" w:type="dxa"/>
              <w:left w:w="108" w:type="dxa"/>
              <w:bottom w:w="0" w:type="dxa"/>
              <w:right w:w="108" w:type="dxa"/>
            </w:tcMar>
            <w:vAlign w:val="center"/>
            <w:hideMark/>
          </w:tcPr>
          <w:p w14:paraId="5043086B" w14:textId="77777777" w:rsidR="00CC0962" w:rsidRPr="00474AE8" w:rsidRDefault="00CC0962" w:rsidP="00CC0962">
            <w:pPr>
              <w:rPr>
                <w:rFonts w:ascii="Calibri" w:hAnsi="Calibri" w:cs="Calibri"/>
                <w:b/>
                <w:bCs/>
                <w:sz w:val="22"/>
              </w:rPr>
            </w:pPr>
            <w:r w:rsidRPr="00474AE8">
              <w:rPr>
                <w:rFonts w:ascii="Calibri" w:hAnsi="Calibri" w:cs="Calibri"/>
                <w:b/>
                <w:bCs/>
                <w:sz w:val="22"/>
              </w:rPr>
              <w:t>Total Stipend</w:t>
            </w:r>
          </w:p>
        </w:tc>
        <w:tc>
          <w:tcPr>
            <w:tcW w:w="890" w:type="dxa"/>
            <w:tcBorders>
              <w:top w:val="nil"/>
              <w:left w:val="nil"/>
              <w:bottom w:val="single" w:sz="8" w:space="0" w:color="auto"/>
              <w:right w:val="single" w:sz="8" w:space="0" w:color="auto"/>
            </w:tcBorders>
            <w:shd w:val="clear" w:color="auto" w:fill="EDEDEE" w:themeFill="background2" w:themeFillTint="33"/>
            <w:tcMar>
              <w:top w:w="0" w:type="dxa"/>
              <w:left w:w="108" w:type="dxa"/>
              <w:bottom w:w="0" w:type="dxa"/>
              <w:right w:w="108" w:type="dxa"/>
            </w:tcMar>
            <w:vAlign w:val="center"/>
            <w:hideMark/>
          </w:tcPr>
          <w:p w14:paraId="36A6D188" w14:textId="77777777" w:rsidR="00CC0962" w:rsidRPr="00474AE8" w:rsidRDefault="00CC0962" w:rsidP="00CC0962">
            <w:pPr>
              <w:rPr>
                <w:rFonts w:ascii="Calibri" w:hAnsi="Calibri" w:cs="Calibri"/>
                <w:b/>
                <w:bCs/>
                <w:sz w:val="22"/>
              </w:rPr>
            </w:pPr>
            <w:r w:rsidRPr="00474AE8">
              <w:rPr>
                <w:rFonts w:ascii="Calibri" w:hAnsi="Calibri" w:cs="Calibri"/>
                <w:b/>
                <w:bCs/>
                <w:sz w:val="22"/>
              </w:rPr>
              <w:t>Tuition</w:t>
            </w:r>
          </w:p>
        </w:tc>
        <w:tc>
          <w:tcPr>
            <w:tcW w:w="1338" w:type="dxa"/>
            <w:tcBorders>
              <w:top w:val="nil"/>
              <w:left w:val="nil"/>
              <w:bottom w:val="single" w:sz="8" w:space="0" w:color="auto"/>
              <w:right w:val="single" w:sz="8" w:space="0" w:color="auto"/>
            </w:tcBorders>
            <w:shd w:val="clear" w:color="auto" w:fill="EDEDEE" w:themeFill="background2" w:themeFillTint="33"/>
            <w:tcMar>
              <w:top w:w="0" w:type="dxa"/>
              <w:left w:w="108" w:type="dxa"/>
              <w:bottom w:w="0" w:type="dxa"/>
              <w:right w:w="108" w:type="dxa"/>
            </w:tcMar>
            <w:vAlign w:val="center"/>
            <w:hideMark/>
          </w:tcPr>
          <w:p w14:paraId="38C10E05" w14:textId="77777777" w:rsidR="00CC0962" w:rsidRPr="00474AE8" w:rsidRDefault="00CC0962" w:rsidP="00CC0962">
            <w:pPr>
              <w:rPr>
                <w:rFonts w:ascii="Calibri" w:hAnsi="Calibri" w:cs="Calibri"/>
                <w:b/>
                <w:bCs/>
                <w:sz w:val="22"/>
              </w:rPr>
            </w:pPr>
            <w:r w:rsidRPr="00474AE8">
              <w:rPr>
                <w:rFonts w:ascii="Calibri" w:hAnsi="Calibri" w:cs="Calibri"/>
                <w:b/>
                <w:bCs/>
                <w:sz w:val="22"/>
              </w:rPr>
              <w:t>Insurance</w:t>
            </w:r>
          </w:p>
        </w:tc>
      </w:tr>
      <w:tr w:rsidR="00CC0962" w:rsidRPr="008472B2" w14:paraId="79ED0DBE" w14:textId="77777777" w:rsidTr="00CC0962">
        <w:tc>
          <w:tcPr>
            <w:tcW w:w="530" w:type="dxa"/>
            <w:vMerge w:val="restart"/>
            <w:tcBorders>
              <w:top w:val="nil"/>
              <w:left w:val="single" w:sz="8" w:space="0" w:color="auto"/>
              <w:right w:val="single" w:sz="8" w:space="0" w:color="auto"/>
            </w:tcBorders>
            <w:textDirection w:val="btLr"/>
            <w:vAlign w:val="center"/>
          </w:tcPr>
          <w:p w14:paraId="372168D8" w14:textId="26D3E9EB" w:rsidR="00CC0962" w:rsidRDefault="00CC0962" w:rsidP="00CC0962">
            <w:pPr>
              <w:ind w:left="113" w:right="113"/>
              <w:jc w:val="center"/>
              <w:rPr>
                <w:rFonts w:ascii="Calibri" w:hAnsi="Calibri" w:cs="Calibri"/>
              </w:rPr>
            </w:pPr>
            <w:r>
              <w:rPr>
                <w:rFonts w:ascii="Calibri" w:hAnsi="Calibri" w:cs="Calibri"/>
              </w:rPr>
              <w:t>1</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EFE39A" w14:textId="32D1D692" w:rsidR="00CC0962" w:rsidRPr="008472B2" w:rsidRDefault="00CC0962" w:rsidP="00D176A1">
            <w:pPr>
              <w:rPr>
                <w:rFonts w:ascii="Calibri" w:hAnsi="Calibri" w:cs="Calibri"/>
              </w:rPr>
            </w:pPr>
            <w:r>
              <w:rPr>
                <w:rFonts w:ascii="Calibri" w:hAnsi="Calibri" w:cs="Calibri"/>
              </w:rPr>
              <w:t>F:23</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76FB95DC" w14:textId="77777777" w:rsidR="00CC0962" w:rsidRPr="008472B2" w:rsidRDefault="00CC0962" w:rsidP="00D176A1">
            <w:pPr>
              <w:rPr>
                <w:rFonts w:ascii="Calibri" w:hAnsi="Calibri" w:cs="Calibri"/>
              </w:rPr>
            </w:pPr>
            <w:r w:rsidRPr="008472B2">
              <w:rPr>
                <w:rFonts w:ascii="Calibri" w:hAnsi="Calibri" w:cs="Calibri"/>
              </w:rPr>
              <w:t>GA</w:t>
            </w:r>
          </w:p>
        </w:tc>
        <w:tc>
          <w:tcPr>
            <w:tcW w:w="2571" w:type="dxa"/>
            <w:tcBorders>
              <w:top w:val="nil"/>
              <w:left w:val="nil"/>
              <w:bottom w:val="single" w:sz="8" w:space="0" w:color="auto"/>
              <w:right w:val="single" w:sz="8" w:space="0" w:color="auto"/>
            </w:tcBorders>
            <w:tcMar>
              <w:top w:w="0" w:type="dxa"/>
              <w:left w:w="108" w:type="dxa"/>
              <w:bottom w:w="0" w:type="dxa"/>
              <w:right w:w="108" w:type="dxa"/>
            </w:tcMar>
          </w:tcPr>
          <w:p w14:paraId="2CB11022" w14:textId="77777777" w:rsidR="00CC0962" w:rsidRPr="008472B2" w:rsidRDefault="00CC0962" w:rsidP="00D176A1">
            <w:pPr>
              <w:rPr>
                <w:rFonts w:ascii="Calibri" w:hAnsi="Calibri" w:cs="Calibri"/>
              </w:rPr>
            </w:pPr>
            <w:r w:rsidRPr="008472B2">
              <w:rPr>
                <w:rFonts w:ascii="Calibri" w:hAnsi="Calibri" w:cs="Calibri"/>
              </w:rPr>
              <w:t xml:space="preserve">.5FTE/20 </w:t>
            </w:r>
            <w:proofErr w:type="spellStart"/>
            <w:r w:rsidRPr="008472B2">
              <w:rPr>
                <w:rFonts w:ascii="Calibri" w:hAnsi="Calibri" w:cs="Calibri"/>
              </w:rPr>
              <w:t>hrs</w:t>
            </w:r>
            <w:proofErr w:type="spellEnd"/>
            <w:r w:rsidRPr="008472B2">
              <w:rPr>
                <w:rFonts w:ascii="Calibri" w:hAnsi="Calibri" w:cs="Calibri"/>
              </w:rPr>
              <w:t xml:space="preserve"> per week</w:t>
            </w:r>
          </w:p>
        </w:tc>
        <w:tc>
          <w:tcPr>
            <w:tcW w:w="1818" w:type="dxa"/>
            <w:tcBorders>
              <w:top w:val="nil"/>
              <w:left w:val="nil"/>
              <w:bottom w:val="single" w:sz="8" w:space="0" w:color="auto"/>
              <w:right w:val="single" w:sz="8" w:space="0" w:color="auto"/>
            </w:tcBorders>
            <w:tcMar>
              <w:top w:w="0" w:type="dxa"/>
              <w:left w:w="108" w:type="dxa"/>
              <w:bottom w:w="0" w:type="dxa"/>
              <w:right w:w="108" w:type="dxa"/>
            </w:tcMar>
          </w:tcPr>
          <w:p w14:paraId="1FC4C1E5" w14:textId="77777777" w:rsidR="00CC0962" w:rsidRPr="008472B2" w:rsidRDefault="00CC0962" w:rsidP="00D176A1">
            <w:pPr>
              <w:rPr>
                <w:rFonts w:ascii="Calibri" w:hAnsi="Calibri" w:cs="Calibri"/>
              </w:rPr>
            </w:pPr>
            <w:r w:rsidRPr="008472B2">
              <w:rPr>
                <w:rFonts w:ascii="Calibri" w:hAnsi="Calibri" w:cs="Calibri"/>
              </w:rPr>
              <w:t>$8,476.45</w:t>
            </w: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5A4F23FD" w14:textId="77777777" w:rsidR="00CC0962" w:rsidRPr="008472B2" w:rsidRDefault="00CC0962" w:rsidP="00D176A1">
            <w:pPr>
              <w:rPr>
                <w:rFonts w:ascii="Calibri" w:hAnsi="Calibri" w:cs="Calibri"/>
              </w:rPr>
            </w:pPr>
            <w:r>
              <w:rPr>
                <w:rFonts w:ascii="Calibri" w:hAnsi="Calibri" w:cs="Calibri"/>
              </w:rPr>
              <w:t>12 cr.</w:t>
            </w:r>
          </w:p>
        </w:tc>
        <w:tc>
          <w:tcPr>
            <w:tcW w:w="1338" w:type="dxa"/>
            <w:tcBorders>
              <w:top w:val="nil"/>
              <w:left w:val="nil"/>
              <w:bottom w:val="single" w:sz="8" w:space="0" w:color="auto"/>
              <w:right w:val="single" w:sz="8" w:space="0" w:color="auto"/>
            </w:tcBorders>
            <w:tcMar>
              <w:top w:w="0" w:type="dxa"/>
              <w:left w:w="108" w:type="dxa"/>
              <w:bottom w:w="0" w:type="dxa"/>
              <w:right w:w="108" w:type="dxa"/>
            </w:tcMar>
          </w:tcPr>
          <w:p w14:paraId="29248AC9" w14:textId="77777777" w:rsidR="00CC0962" w:rsidRPr="008472B2" w:rsidRDefault="00CC0962" w:rsidP="00D176A1">
            <w:pPr>
              <w:rPr>
                <w:rFonts w:ascii="Calibri" w:hAnsi="Calibri" w:cs="Calibri"/>
              </w:rPr>
            </w:pPr>
            <w:r w:rsidRPr="008472B2">
              <w:rPr>
                <w:rFonts w:ascii="Calibri" w:hAnsi="Calibri" w:cs="Calibri"/>
              </w:rPr>
              <w:t>Yes</w:t>
            </w:r>
          </w:p>
        </w:tc>
      </w:tr>
      <w:tr w:rsidR="00CC0962" w:rsidRPr="008472B2" w14:paraId="285C52D2" w14:textId="77777777" w:rsidTr="00CC0962">
        <w:tc>
          <w:tcPr>
            <w:tcW w:w="530" w:type="dxa"/>
            <w:vMerge/>
            <w:tcBorders>
              <w:left w:val="single" w:sz="8" w:space="0" w:color="auto"/>
              <w:bottom w:val="single" w:sz="8" w:space="0" w:color="auto"/>
              <w:right w:val="single" w:sz="8" w:space="0" w:color="auto"/>
            </w:tcBorders>
            <w:textDirection w:val="btLr"/>
            <w:vAlign w:val="center"/>
          </w:tcPr>
          <w:p w14:paraId="3B5D0DEF" w14:textId="77777777" w:rsidR="00CC0962" w:rsidRDefault="00CC0962" w:rsidP="00CC0962">
            <w:pPr>
              <w:ind w:left="113" w:right="113"/>
              <w:jc w:val="center"/>
              <w:rPr>
                <w:rFonts w:ascii="Calibri" w:hAnsi="Calibri" w:cs="Calibri"/>
              </w:rPr>
            </w:pP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35323B" w14:textId="17BFFD17" w:rsidR="00CC0962" w:rsidRPr="008472B2" w:rsidRDefault="00CC0962" w:rsidP="00D176A1">
            <w:pPr>
              <w:rPr>
                <w:rFonts w:ascii="Calibri" w:hAnsi="Calibri" w:cs="Calibri"/>
              </w:rPr>
            </w:pPr>
            <w:r>
              <w:rPr>
                <w:rFonts w:ascii="Calibri" w:hAnsi="Calibri" w:cs="Calibri"/>
              </w:rPr>
              <w:t>S:24</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11D4ACD2" w14:textId="77777777" w:rsidR="00CC0962" w:rsidRPr="008472B2" w:rsidRDefault="00CC0962" w:rsidP="00D176A1">
            <w:pPr>
              <w:rPr>
                <w:rFonts w:ascii="Calibri" w:hAnsi="Calibri" w:cs="Calibri"/>
              </w:rPr>
            </w:pPr>
            <w:r>
              <w:rPr>
                <w:rFonts w:ascii="Calibri" w:hAnsi="Calibri" w:cs="Calibri"/>
              </w:rPr>
              <w:t>GA</w:t>
            </w:r>
          </w:p>
        </w:tc>
        <w:tc>
          <w:tcPr>
            <w:tcW w:w="2571" w:type="dxa"/>
            <w:tcBorders>
              <w:top w:val="nil"/>
              <w:left w:val="nil"/>
              <w:bottom w:val="single" w:sz="8" w:space="0" w:color="auto"/>
              <w:right w:val="single" w:sz="8" w:space="0" w:color="auto"/>
            </w:tcBorders>
            <w:tcMar>
              <w:top w:w="0" w:type="dxa"/>
              <w:left w:w="108" w:type="dxa"/>
              <w:bottom w:w="0" w:type="dxa"/>
              <w:right w:w="108" w:type="dxa"/>
            </w:tcMar>
          </w:tcPr>
          <w:p w14:paraId="26F6AE49" w14:textId="77777777" w:rsidR="00CC0962" w:rsidRPr="008472B2" w:rsidRDefault="00CC0962" w:rsidP="00D176A1">
            <w:pPr>
              <w:rPr>
                <w:rFonts w:ascii="Calibri" w:hAnsi="Calibri" w:cs="Calibri"/>
              </w:rPr>
            </w:pPr>
            <w:r>
              <w:rPr>
                <w:rFonts w:ascii="Calibri" w:hAnsi="Calibri" w:cs="Calibri"/>
              </w:rPr>
              <w:t xml:space="preserve">.5FTE/20 </w:t>
            </w:r>
            <w:proofErr w:type="spellStart"/>
            <w:r>
              <w:rPr>
                <w:rFonts w:ascii="Calibri" w:hAnsi="Calibri" w:cs="Calibri"/>
              </w:rPr>
              <w:t>hrs</w:t>
            </w:r>
            <w:proofErr w:type="spellEnd"/>
            <w:r>
              <w:rPr>
                <w:rFonts w:ascii="Calibri" w:hAnsi="Calibri" w:cs="Calibri"/>
              </w:rPr>
              <w:t xml:space="preserve"> per week</w:t>
            </w:r>
          </w:p>
        </w:tc>
        <w:tc>
          <w:tcPr>
            <w:tcW w:w="1818" w:type="dxa"/>
            <w:tcBorders>
              <w:top w:val="nil"/>
              <w:left w:val="nil"/>
              <w:bottom w:val="single" w:sz="8" w:space="0" w:color="auto"/>
              <w:right w:val="single" w:sz="8" w:space="0" w:color="auto"/>
            </w:tcBorders>
            <w:tcMar>
              <w:top w:w="0" w:type="dxa"/>
              <w:left w:w="108" w:type="dxa"/>
              <w:bottom w:w="0" w:type="dxa"/>
              <w:right w:w="108" w:type="dxa"/>
            </w:tcMar>
          </w:tcPr>
          <w:p w14:paraId="6088F09F" w14:textId="77777777" w:rsidR="00CC0962" w:rsidRPr="008472B2" w:rsidRDefault="00CC0962" w:rsidP="00D176A1">
            <w:pPr>
              <w:rPr>
                <w:rFonts w:ascii="Calibri" w:hAnsi="Calibri" w:cs="Calibri"/>
              </w:rPr>
            </w:pPr>
            <w:r w:rsidRPr="008472B2">
              <w:rPr>
                <w:rFonts w:ascii="Calibri" w:hAnsi="Calibri" w:cs="Calibri"/>
              </w:rPr>
              <w:t>$8,476.45</w:t>
            </w: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0083F642" w14:textId="77777777" w:rsidR="00CC0962" w:rsidRPr="008472B2" w:rsidRDefault="00CC0962" w:rsidP="00D176A1">
            <w:pPr>
              <w:rPr>
                <w:rFonts w:ascii="Calibri" w:hAnsi="Calibri" w:cs="Calibri"/>
              </w:rPr>
            </w:pPr>
            <w:r>
              <w:rPr>
                <w:rFonts w:ascii="Calibri" w:hAnsi="Calibri" w:cs="Calibri"/>
              </w:rPr>
              <w:t>12 cr.</w:t>
            </w:r>
          </w:p>
        </w:tc>
        <w:tc>
          <w:tcPr>
            <w:tcW w:w="1338" w:type="dxa"/>
            <w:tcBorders>
              <w:top w:val="nil"/>
              <w:left w:val="nil"/>
              <w:bottom w:val="single" w:sz="8" w:space="0" w:color="auto"/>
              <w:right w:val="single" w:sz="8" w:space="0" w:color="auto"/>
            </w:tcBorders>
            <w:tcMar>
              <w:top w:w="0" w:type="dxa"/>
              <w:left w:w="108" w:type="dxa"/>
              <w:bottom w:w="0" w:type="dxa"/>
              <w:right w:w="108" w:type="dxa"/>
            </w:tcMar>
          </w:tcPr>
          <w:p w14:paraId="618AE411" w14:textId="77777777" w:rsidR="00CC0962" w:rsidRDefault="00CC0962" w:rsidP="00D176A1">
            <w:pPr>
              <w:rPr>
                <w:rFonts w:ascii="Calibri" w:hAnsi="Calibri" w:cs="Calibri"/>
              </w:rPr>
            </w:pPr>
            <w:r>
              <w:rPr>
                <w:rFonts w:ascii="Calibri" w:hAnsi="Calibri" w:cs="Calibri"/>
              </w:rPr>
              <w:t>Yes</w:t>
            </w:r>
          </w:p>
        </w:tc>
      </w:tr>
      <w:tr w:rsidR="00CC0962" w:rsidRPr="008472B2" w14:paraId="68B47048" w14:textId="77777777" w:rsidTr="00CC0962">
        <w:tc>
          <w:tcPr>
            <w:tcW w:w="530" w:type="dxa"/>
            <w:vMerge w:val="restart"/>
            <w:tcBorders>
              <w:top w:val="nil"/>
              <w:left w:val="single" w:sz="8" w:space="0" w:color="auto"/>
              <w:right w:val="single" w:sz="8" w:space="0" w:color="auto"/>
            </w:tcBorders>
            <w:textDirection w:val="btLr"/>
            <w:vAlign w:val="center"/>
          </w:tcPr>
          <w:p w14:paraId="34767C6D" w14:textId="3BCA4ACE" w:rsidR="00CC0962" w:rsidRPr="00CC0962" w:rsidRDefault="00CC0962" w:rsidP="00CC0962">
            <w:pPr>
              <w:ind w:left="113" w:right="113"/>
              <w:rPr>
                <w:rFonts w:ascii="Calibri" w:hAnsi="Calibri" w:cs="Calibri"/>
                <w:vertAlign w:val="superscript"/>
              </w:rPr>
            </w:pPr>
            <w:r>
              <w:rPr>
                <w:rFonts w:ascii="Calibri" w:hAnsi="Calibri" w:cs="Calibri"/>
              </w:rPr>
              <w:t xml:space="preserve"> 2</w:t>
            </w:r>
            <w:r>
              <w:rPr>
                <w:rFonts w:ascii="Calibri" w:hAnsi="Calibri" w:cs="Calibri"/>
                <w:vertAlign w:val="superscript"/>
              </w:rPr>
              <w:t>a</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E1FDC7" w14:textId="7BEC5499" w:rsidR="00CC0962" w:rsidRPr="008472B2" w:rsidRDefault="00CC0962" w:rsidP="00D176A1">
            <w:pPr>
              <w:rPr>
                <w:rFonts w:ascii="Calibri" w:hAnsi="Calibri" w:cs="Calibri"/>
              </w:rPr>
            </w:pPr>
            <w:r>
              <w:rPr>
                <w:rFonts w:ascii="Calibri" w:hAnsi="Calibri" w:cs="Calibri"/>
              </w:rPr>
              <w:t>F:24</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10D1C40A" w14:textId="77777777" w:rsidR="00CC0962" w:rsidRPr="008472B2" w:rsidRDefault="00CC0962" w:rsidP="00D176A1">
            <w:pPr>
              <w:rPr>
                <w:rFonts w:ascii="Calibri" w:hAnsi="Calibri" w:cs="Calibri"/>
              </w:rPr>
            </w:pPr>
            <w:r>
              <w:rPr>
                <w:rFonts w:ascii="Calibri" w:hAnsi="Calibri" w:cs="Calibri"/>
              </w:rPr>
              <w:t>GA</w:t>
            </w:r>
          </w:p>
        </w:tc>
        <w:tc>
          <w:tcPr>
            <w:tcW w:w="2571" w:type="dxa"/>
            <w:tcBorders>
              <w:top w:val="nil"/>
              <w:left w:val="nil"/>
              <w:bottom w:val="single" w:sz="8" w:space="0" w:color="auto"/>
              <w:right w:val="single" w:sz="8" w:space="0" w:color="auto"/>
            </w:tcBorders>
            <w:tcMar>
              <w:top w:w="0" w:type="dxa"/>
              <w:left w:w="108" w:type="dxa"/>
              <w:bottom w:w="0" w:type="dxa"/>
              <w:right w:w="108" w:type="dxa"/>
            </w:tcMar>
          </w:tcPr>
          <w:p w14:paraId="5A5A7A24" w14:textId="77777777" w:rsidR="00CC0962" w:rsidRPr="008472B2" w:rsidRDefault="00CC0962" w:rsidP="00D176A1">
            <w:pPr>
              <w:rPr>
                <w:rFonts w:ascii="Calibri" w:hAnsi="Calibri" w:cs="Calibri"/>
              </w:rPr>
            </w:pPr>
            <w:r w:rsidRPr="008472B2">
              <w:rPr>
                <w:rFonts w:ascii="Calibri" w:hAnsi="Calibri" w:cs="Calibri"/>
              </w:rPr>
              <w:t xml:space="preserve">.5FTE/20 </w:t>
            </w:r>
            <w:proofErr w:type="spellStart"/>
            <w:r w:rsidRPr="008472B2">
              <w:rPr>
                <w:rFonts w:ascii="Calibri" w:hAnsi="Calibri" w:cs="Calibri"/>
              </w:rPr>
              <w:t>hrs</w:t>
            </w:r>
            <w:proofErr w:type="spellEnd"/>
            <w:r w:rsidRPr="008472B2">
              <w:rPr>
                <w:rFonts w:ascii="Calibri" w:hAnsi="Calibri" w:cs="Calibri"/>
              </w:rPr>
              <w:t xml:space="preserve"> per week</w:t>
            </w:r>
          </w:p>
        </w:tc>
        <w:tc>
          <w:tcPr>
            <w:tcW w:w="1818" w:type="dxa"/>
            <w:tcBorders>
              <w:top w:val="nil"/>
              <w:left w:val="nil"/>
              <w:bottom w:val="single" w:sz="8" w:space="0" w:color="auto"/>
              <w:right w:val="single" w:sz="8" w:space="0" w:color="auto"/>
            </w:tcBorders>
            <w:tcMar>
              <w:top w:w="0" w:type="dxa"/>
              <w:left w:w="108" w:type="dxa"/>
              <w:bottom w:w="0" w:type="dxa"/>
              <w:right w:w="108" w:type="dxa"/>
            </w:tcMar>
          </w:tcPr>
          <w:p w14:paraId="5C0C8DFE" w14:textId="77777777" w:rsidR="00CC0962" w:rsidRPr="008472B2" w:rsidRDefault="00CC0962" w:rsidP="00D176A1">
            <w:pPr>
              <w:rPr>
                <w:rFonts w:ascii="Calibri" w:hAnsi="Calibri" w:cs="Calibri"/>
              </w:rPr>
            </w:pPr>
            <w:r w:rsidRPr="008472B2">
              <w:rPr>
                <w:rFonts w:ascii="Calibri" w:hAnsi="Calibri" w:cs="Calibri"/>
              </w:rPr>
              <w:t>$8,476.45</w:t>
            </w: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68B03E16" w14:textId="77777777" w:rsidR="00CC0962" w:rsidRPr="008472B2" w:rsidRDefault="00CC0962" w:rsidP="00D176A1">
            <w:pPr>
              <w:rPr>
                <w:rFonts w:ascii="Calibri" w:hAnsi="Calibri" w:cs="Calibri"/>
              </w:rPr>
            </w:pPr>
            <w:r>
              <w:rPr>
                <w:rFonts w:ascii="Calibri" w:hAnsi="Calibri" w:cs="Calibri"/>
              </w:rPr>
              <w:t>12 cr.</w:t>
            </w:r>
          </w:p>
        </w:tc>
        <w:tc>
          <w:tcPr>
            <w:tcW w:w="1338" w:type="dxa"/>
            <w:tcBorders>
              <w:top w:val="nil"/>
              <w:left w:val="nil"/>
              <w:bottom w:val="single" w:sz="8" w:space="0" w:color="auto"/>
              <w:right w:val="single" w:sz="8" w:space="0" w:color="auto"/>
            </w:tcBorders>
            <w:tcMar>
              <w:top w:w="0" w:type="dxa"/>
              <w:left w:w="108" w:type="dxa"/>
              <w:bottom w:w="0" w:type="dxa"/>
              <w:right w:w="108" w:type="dxa"/>
            </w:tcMar>
          </w:tcPr>
          <w:p w14:paraId="4C4AB2A6" w14:textId="77777777" w:rsidR="00CC0962" w:rsidRPr="008472B2" w:rsidRDefault="00CC0962" w:rsidP="00D176A1">
            <w:pPr>
              <w:rPr>
                <w:rFonts w:ascii="Calibri" w:hAnsi="Calibri" w:cs="Calibri"/>
              </w:rPr>
            </w:pPr>
            <w:r>
              <w:rPr>
                <w:rFonts w:ascii="Calibri" w:hAnsi="Calibri" w:cs="Calibri"/>
              </w:rPr>
              <w:t>Yes</w:t>
            </w:r>
          </w:p>
        </w:tc>
      </w:tr>
      <w:tr w:rsidR="00CC0962" w:rsidRPr="008472B2" w14:paraId="25022460" w14:textId="77777777" w:rsidTr="00CC0962">
        <w:tc>
          <w:tcPr>
            <w:tcW w:w="530" w:type="dxa"/>
            <w:vMerge/>
            <w:tcBorders>
              <w:left w:val="single" w:sz="8" w:space="0" w:color="auto"/>
              <w:bottom w:val="single" w:sz="8" w:space="0" w:color="auto"/>
              <w:right w:val="single" w:sz="8" w:space="0" w:color="auto"/>
            </w:tcBorders>
            <w:textDirection w:val="btLr"/>
            <w:vAlign w:val="center"/>
          </w:tcPr>
          <w:p w14:paraId="75DDE508" w14:textId="77777777" w:rsidR="00CC0962" w:rsidRDefault="00CC0962" w:rsidP="00CC0962">
            <w:pPr>
              <w:ind w:left="113" w:right="113"/>
              <w:jc w:val="center"/>
              <w:rPr>
                <w:rFonts w:ascii="Calibri" w:hAnsi="Calibri" w:cs="Calibri"/>
              </w:rPr>
            </w:pP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45C29" w14:textId="40902B67" w:rsidR="00CC0962" w:rsidRPr="008472B2" w:rsidRDefault="00CC0962" w:rsidP="00D176A1">
            <w:pPr>
              <w:rPr>
                <w:rFonts w:ascii="Calibri" w:hAnsi="Calibri" w:cs="Calibri"/>
              </w:rPr>
            </w:pPr>
            <w:r>
              <w:rPr>
                <w:rFonts w:ascii="Calibri" w:hAnsi="Calibri" w:cs="Calibri"/>
              </w:rPr>
              <w:t>S:25</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72908136" w14:textId="77777777" w:rsidR="00CC0962" w:rsidRPr="008472B2" w:rsidRDefault="00CC0962" w:rsidP="00D176A1">
            <w:pPr>
              <w:rPr>
                <w:rFonts w:ascii="Calibri" w:hAnsi="Calibri" w:cs="Calibri"/>
              </w:rPr>
            </w:pPr>
            <w:r>
              <w:rPr>
                <w:rFonts w:ascii="Calibri" w:hAnsi="Calibri" w:cs="Calibri"/>
              </w:rPr>
              <w:t>GA</w:t>
            </w:r>
          </w:p>
        </w:tc>
        <w:tc>
          <w:tcPr>
            <w:tcW w:w="2571" w:type="dxa"/>
            <w:tcBorders>
              <w:top w:val="nil"/>
              <w:left w:val="nil"/>
              <w:bottom w:val="single" w:sz="8" w:space="0" w:color="auto"/>
              <w:right w:val="single" w:sz="8" w:space="0" w:color="auto"/>
            </w:tcBorders>
            <w:tcMar>
              <w:top w:w="0" w:type="dxa"/>
              <w:left w:w="108" w:type="dxa"/>
              <w:bottom w:w="0" w:type="dxa"/>
              <w:right w:w="108" w:type="dxa"/>
            </w:tcMar>
          </w:tcPr>
          <w:p w14:paraId="2CB9D93F" w14:textId="77777777" w:rsidR="00CC0962" w:rsidRPr="008472B2" w:rsidRDefault="00CC0962" w:rsidP="00D176A1">
            <w:pPr>
              <w:rPr>
                <w:rFonts w:ascii="Calibri" w:hAnsi="Calibri" w:cs="Calibri"/>
              </w:rPr>
            </w:pPr>
            <w:r>
              <w:rPr>
                <w:rFonts w:ascii="Calibri" w:hAnsi="Calibri" w:cs="Calibri"/>
              </w:rPr>
              <w:t xml:space="preserve">.5FTE/20 </w:t>
            </w:r>
            <w:proofErr w:type="spellStart"/>
            <w:r>
              <w:rPr>
                <w:rFonts w:ascii="Calibri" w:hAnsi="Calibri" w:cs="Calibri"/>
              </w:rPr>
              <w:t>hrs</w:t>
            </w:r>
            <w:proofErr w:type="spellEnd"/>
            <w:r>
              <w:rPr>
                <w:rFonts w:ascii="Calibri" w:hAnsi="Calibri" w:cs="Calibri"/>
              </w:rPr>
              <w:t xml:space="preserve"> per week</w:t>
            </w:r>
          </w:p>
        </w:tc>
        <w:tc>
          <w:tcPr>
            <w:tcW w:w="1818" w:type="dxa"/>
            <w:tcBorders>
              <w:top w:val="nil"/>
              <w:left w:val="nil"/>
              <w:bottom w:val="single" w:sz="8" w:space="0" w:color="auto"/>
              <w:right w:val="single" w:sz="8" w:space="0" w:color="auto"/>
            </w:tcBorders>
            <w:tcMar>
              <w:top w:w="0" w:type="dxa"/>
              <w:left w:w="108" w:type="dxa"/>
              <w:bottom w:w="0" w:type="dxa"/>
              <w:right w:w="108" w:type="dxa"/>
            </w:tcMar>
          </w:tcPr>
          <w:p w14:paraId="70D01DA0" w14:textId="77777777" w:rsidR="00CC0962" w:rsidRPr="008472B2" w:rsidRDefault="00CC0962" w:rsidP="00D176A1">
            <w:pPr>
              <w:rPr>
                <w:rFonts w:ascii="Calibri" w:hAnsi="Calibri" w:cs="Calibri"/>
              </w:rPr>
            </w:pPr>
            <w:r w:rsidRPr="008472B2">
              <w:rPr>
                <w:rFonts w:ascii="Calibri" w:hAnsi="Calibri" w:cs="Calibri"/>
              </w:rPr>
              <w:t>$8,476.45</w:t>
            </w: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7B0D77DC" w14:textId="77777777" w:rsidR="00CC0962" w:rsidRPr="008472B2" w:rsidRDefault="00CC0962" w:rsidP="00D176A1">
            <w:pPr>
              <w:rPr>
                <w:rFonts w:ascii="Calibri" w:hAnsi="Calibri" w:cs="Calibri"/>
              </w:rPr>
            </w:pPr>
            <w:r>
              <w:rPr>
                <w:rFonts w:ascii="Calibri" w:hAnsi="Calibri" w:cs="Calibri"/>
              </w:rPr>
              <w:t>12 cr.</w:t>
            </w:r>
          </w:p>
        </w:tc>
        <w:tc>
          <w:tcPr>
            <w:tcW w:w="1338" w:type="dxa"/>
            <w:tcBorders>
              <w:top w:val="nil"/>
              <w:left w:val="nil"/>
              <w:bottom w:val="single" w:sz="8" w:space="0" w:color="auto"/>
              <w:right w:val="single" w:sz="8" w:space="0" w:color="auto"/>
            </w:tcBorders>
            <w:tcMar>
              <w:top w:w="0" w:type="dxa"/>
              <w:left w:w="108" w:type="dxa"/>
              <w:bottom w:w="0" w:type="dxa"/>
              <w:right w:w="108" w:type="dxa"/>
            </w:tcMar>
          </w:tcPr>
          <w:p w14:paraId="4EBC3320" w14:textId="77777777" w:rsidR="00CC0962" w:rsidRDefault="00CC0962" w:rsidP="00D176A1">
            <w:pPr>
              <w:rPr>
                <w:rFonts w:ascii="Calibri" w:hAnsi="Calibri" w:cs="Calibri"/>
              </w:rPr>
            </w:pPr>
            <w:r>
              <w:rPr>
                <w:rFonts w:ascii="Calibri" w:hAnsi="Calibri" w:cs="Calibri"/>
              </w:rPr>
              <w:t>Yes</w:t>
            </w:r>
          </w:p>
        </w:tc>
      </w:tr>
      <w:tr w:rsidR="00CC0962" w:rsidRPr="008472B2" w14:paraId="2EB99879" w14:textId="77777777" w:rsidTr="00CC0962">
        <w:tc>
          <w:tcPr>
            <w:tcW w:w="530" w:type="dxa"/>
            <w:vMerge w:val="restart"/>
            <w:tcBorders>
              <w:top w:val="nil"/>
              <w:left w:val="single" w:sz="8" w:space="0" w:color="auto"/>
              <w:right w:val="single" w:sz="8" w:space="0" w:color="auto"/>
            </w:tcBorders>
            <w:textDirection w:val="btLr"/>
            <w:vAlign w:val="center"/>
          </w:tcPr>
          <w:p w14:paraId="42F2D978" w14:textId="0E05EE5B" w:rsidR="00CC0962" w:rsidRPr="00CC0962" w:rsidRDefault="00CC0962" w:rsidP="00CC0962">
            <w:pPr>
              <w:ind w:left="113" w:right="113"/>
              <w:jc w:val="center"/>
              <w:rPr>
                <w:rFonts w:ascii="Calibri" w:hAnsi="Calibri" w:cs="Calibri"/>
                <w:vertAlign w:val="superscript"/>
              </w:rPr>
            </w:pPr>
            <w:r>
              <w:rPr>
                <w:rFonts w:ascii="Calibri" w:hAnsi="Calibri" w:cs="Calibri"/>
              </w:rPr>
              <w:t>3</w:t>
            </w:r>
            <w:r>
              <w:rPr>
                <w:rFonts w:ascii="Calibri" w:hAnsi="Calibri" w:cs="Calibri"/>
                <w:vertAlign w:val="superscript"/>
              </w:rPr>
              <w:t>a</w:t>
            </w: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A30DE" w14:textId="5CA86335" w:rsidR="00CC0962" w:rsidRPr="008472B2" w:rsidRDefault="00CC0962" w:rsidP="00D176A1">
            <w:pPr>
              <w:rPr>
                <w:rFonts w:ascii="Calibri" w:hAnsi="Calibri" w:cs="Calibri"/>
              </w:rPr>
            </w:pPr>
            <w:r>
              <w:rPr>
                <w:rFonts w:ascii="Calibri" w:hAnsi="Calibri" w:cs="Calibri"/>
              </w:rPr>
              <w:t>F:25</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7971A51D" w14:textId="77777777" w:rsidR="00CC0962" w:rsidRPr="008472B2" w:rsidRDefault="00CC0962" w:rsidP="00D176A1">
            <w:pPr>
              <w:rPr>
                <w:rFonts w:ascii="Calibri" w:hAnsi="Calibri" w:cs="Calibri"/>
              </w:rPr>
            </w:pPr>
            <w:r>
              <w:rPr>
                <w:rFonts w:ascii="Calibri" w:hAnsi="Calibri" w:cs="Calibri"/>
              </w:rPr>
              <w:t>GA</w:t>
            </w:r>
          </w:p>
        </w:tc>
        <w:tc>
          <w:tcPr>
            <w:tcW w:w="2571" w:type="dxa"/>
            <w:tcBorders>
              <w:top w:val="nil"/>
              <w:left w:val="nil"/>
              <w:bottom w:val="single" w:sz="8" w:space="0" w:color="auto"/>
              <w:right w:val="single" w:sz="8" w:space="0" w:color="auto"/>
            </w:tcBorders>
            <w:tcMar>
              <w:top w:w="0" w:type="dxa"/>
              <w:left w:w="108" w:type="dxa"/>
              <w:bottom w:w="0" w:type="dxa"/>
              <w:right w:w="108" w:type="dxa"/>
            </w:tcMar>
          </w:tcPr>
          <w:p w14:paraId="17D83C07" w14:textId="77777777" w:rsidR="00CC0962" w:rsidRPr="008472B2" w:rsidRDefault="00CC0962" w:rsidP="00D176A1">
            <w:pPr>
              <w:rPr>
                <w:rFonts w:ascii="Calibri" w:hAnsi="Calibri" w:cs="Calibri"/>
              </w:rPr>
            </w:pPr>
            <w:r w:rsidRPr="008472B2">
              <w:rPr>
                <w:rFonts w:ascii="Calibri" w:hAnsi="Calibri" w:cs="Calibri"/>
              </w:rPr>
              <w:t xml:space="preserve">.5FTE/20 </w:t>
            </w:r>
            <w:proofErr w:type="spellStart"/>
            <w:r w:rsidRPr="008472B2">
              <w:rPr>
                <w:rFonts w:ascii="Calibri" w:hAnsi="Calibri" w:cs="Calibri"/>
              </w:rPr>
              <w:t>hrs</w:t>
            </w:r>
            <w:proofErr w:type="spellEnd"/>
            <w:r w:rsidRPr="008472B2">
              <w:rPr>
                <w:rFonts w:ascii="Calibri" w:hAnsi="Calibri" w:cs="Calibri"/>
              </w:rPr>
              <w:t xml:space="preserve"> per week</w:t>
            </w:r>
          </w:p>
        </w:tc>
        <w:tc>
          <w:tcPr>
            <w:tcW w:w="1818" w:type="dxa"/>
            <w:tcBorders>
              <w:top w:val="nil"/>
              <w:left w:val="nil"/>
              <w:bottom w:val="single" w:sz="8" w:space="0" w:color="auto"/>
              <w:right w:val="single" w:sz="8" w:space="0" w:color="auto"/>
            </w:tcBorders>
            <w:tcMar>
              <w:top w:w="0" w:type="dxa"/>
              <w:left w:w="108" w:type="dxa"/>
              <w:bottom w:w="0" w:type="dxa"/>
              <w:right w:w="108" w:type="dxa"/>
            </w:tcMar>
          </w:tcPr>
          <w:p w14:paraId="5D83A0FF" w14:textId="77777777" w:rsidR="00CC0962" w:rsidRPr="008472B2" w:rsidRDefault="00CC0962" w:rsidP="00D176A1">
            <w:pPr>
              <w:rPr>
                <w:rFonts w:ascii="Calibri" w:hAnsi="Calibri" w:cs="Calibri"/>
              </w:rPr>
            </w:pPr>
            <w:r w:rsidRPr="008472B2">
              <w:rPr>
                <w:rFonts w:ascii="Calibri" w:hAnsi="Calibri" w:cs="Calibri"/>
              </w:rPr>
              <w:t>$8,476.45</w:t>
            </w: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1DC44948" w14:textId="77777777" w:rsidR="00CC0962" w:rsidRPr="008472B2" w:rsidRDefault="00CC0962" w:rsidP="00D176A1">
            <w:pPr>
              <w:rPr>
                <w:rFonts w:ascii="Calibri" w:hAnsi="Calibri" w:cs="Calibri"/>
              </w:rPr>
            </w:pPr>
            <w:r>
              <w:rPr>
                <w:rFonts w:ascii="Calibri" w:hAnsi="Calibri" w:cs="Calibri"/>
              </w:rPr>
              <w:t>12 cr.</w:t>
            </w:r>
          </w:p>
        </w:tc>
        <w:tc>
          <w:tcPr>
            <w:tcW w:w="1338" w:type="dxa"/>
            <w:tcBorders>
              <w:top w:val="nil"/>
              <w:left w:val="nil"/>
              <w:bottom w:val="single" w:sz="8" w:space="0" w:color="auto"/>
              <w:right w:val="single" w:sz="8" w:space="0" w:color="auto"/>
            </w:tcBorders>
            <w:tcMar>
              <w:top w:w="0" w:type="dxa"/>
              <w:left w:w="108" w:type="dxa"/>
              <w:bottom w:w="0" w:type="dxa"/>
              <w:right w:w="108" w:type="dxa"/>
            </w:tcMar>
          </w:tcPr>
          <w:p w14:paraId="0E3BFF30" w14:textId="77777777" w:rsidR="00CC0962" w:rsidRPr="008472B2" w:rsidRDefault="00CC0962" w:rsidP="00D176A1">
            <w:pPr>
              <w:rPr>
                <w:rFonts w:ascii="Calibri" w:hAnsi="Calibri" w:cs="Calibri"/>
              </w:rPr>
            </w:pPr>
            <w:r>
              <w:rPr>
                <w:rFonts w:ascii="Calibri" w:hAnsi="Calibri" w:cs="Calibri"/>
              </w:rPr>
              <w:t>Yes</w:t>
            </w:r>
          </w:p>
        </w:tc>
      </w:tr>
      <w:tr w:rsidR="00CC0962" w:rsidRPr="008472B2" w14:paraId="2BA1D19C" w14:textId="77777777" w:rsidTr="00CC0962">
        <w:tc>
          <w:tcPr>
            <w:tcW w:w="530" w:type="dxa"/>
            <w:vMerge/>
            <w:tcBorders>
              <w:left w:val="single" w:sz="8" w:space="0" w:color="auto"/>
              <w:bottom w:val="single" w:sz="8" w:space="0" w:color="auto"/>
              <w:right w:val="single" w:sz="8" w:space="0" w:color="auto"/>
            </w:tcBorders>
          </w:tcPr>
          <w:p w14:paraId="4D73B79B" w14:textId="77777777" w:rsidR="00CC0962" w:rsidRDefault="00CC0962" w:rsidP="00D176A1">
            <w:pPr>
              <w:rPr>
                <w:rFonts w:ascii="Calibri" w:hAnsi="Calibri" w:cs="Calibri"/>
              </w:rPr>
            </w:pPr>
          </w:p>
        </w:t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1B311A" w14:textId="798DBC0A" w:rsidR="00CC0962" w:rsidRPr="008472B2" w:rsidRDefault="00CC0962" w:rsidP="00D176A1">
            <w:pPr>
              <w:rPr>
                <w:rFonts w:ascii="Calibri" w:hAnsi="Calibri" w:cs="Calibri"/>
              </w:rPr>
            </w:pPr>
            <w:r>
              <w:rPr>
                <w:rFonts w:ascii="Calibri" w:hAnsi="Calibri" w:cs="Calibri"/>
              </w:rPr>
              <w:t>S:26</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2B376F70" w14:textId="77777777" w:rsidR="00CC0962" w:rsidRPr="008472B2" w:rsidRDefault="00CC0962" w:rsidP="00D176A1">
            <w:pPr>
              <w:rPr>
                <w:rFonts w:ascii="Calibri" w:hAnsi="Calibri" w:cs="Calibri"/>
              </w:rPr>
            </w:pPr>
            <w:r>
              <w:rPr>
                <w:rFonts w:ascii="Calibri" w:hAnsi="Calibri" w:cs="Calibri"/>
              </w:rPr>
              <w:t>GA</w:t>
            </w:r>
          </w:p>
        </w:tc>
        <w:tc>
          <w:tcPr>
            <w:tcW w:w="2571" w:type="dxa"/>
            <w:tcBorders>
              <w:top w:val="nil"/>
              <w:left w:val="nil"/>
              <w:bottom w:val="single" w:sz="8" w:space="0" w:color="auto"/>
              <w:right w:val="single" w:sz="8" w:space="0" w:color="auto"/>
            </w:tcBorders>
            <w:tcMar>
              <w:top w:w="0" w:type="dxa"/>
              <w:left w:w="108" w:type="dxa"/>
              <w:bottom w:w="0" w:type="dxa"/>
              <w:right w:w="108" w:type="dxa"/>
            </w:tcMar>
          </w:tcPr>
          <w:p w14:paraId="08BAEFFC" w14:textId="77777777" w:rsidR="00CC0962" w:rsidRPr="008472B2" w:rsidRDefault="00CC0962" w:rsidP="00D176A1">
            <w:pPr>
              <w:rPr>
                <w:rFonts w:ascii="Calibri" w:hAnsi="Calibri" w:cs="Calibri"/>
              </w:rPr>
            </w:pPr>
            <w:r>
              <w:rPr>
                <w:rFonts w:ascii="Calibri" w:hAnsi="Calibri" w:cs="Calibri"/>
              </w:rPr>
              <w:t xml:space="preserve">.5FTE/20 </w:t>
            </w:r>
            <w:proofErr w:type="spellStart"/>
            <w:r>
              <w:rPr>
                <w:rFonts w:ascii="Calibri" w:hAnsi="Calibri" w:cs="Calibri"/>
              </w:rPr>
              <w:t>hrs</w:t>
            </w:r>
            <w:proofErr w:type="spellEnd"/>
            <w:r>
              <w:rPr>
                <w:rFonts w:ascii="Calibri" w:hAnsi="Calibri" w:cs="Calibri"/>
              </w:rPr>
              <w:t xml:space="preserve"> per week</w:t>
            </w:r>
          </w:p>
        </w:tc>
        <w:tc>
          <w:tcPr>
            <w:tcW w:w="1818" w:type="dxa"/>
            <w:tcBorders>
              <w:top w:val="nil"/>
              <w:left w:val="nil"/>
              <w:bottom w:val="single" w:sz="8" w:space="0" w:color="auto"/>
              <w:right w:val="single" w:sz="8" w:space="0" w:color="auto"/>
            </w:tcBorders>
            <w:tcMar>
              <w:top w:w="0" w:type="dxa"/>
              <w:left w:w="108" w:type="dxa"/>
              <w:bottom w:w="0" w:type="dxa"/>
              <w:right w:w="108" w:type="dxa"/>
            </w:tcMar>
          </w:tcPr>
          <w:p w14:paraId="0695574A" w14:textId="77777777" w:rsidR="00CC0962" w:rsidRPr="008472B2" w:rsidRDefault="00CC0962" w:rsidP="00D176A1">
            <w:pPr>
              <w:rPr>
                <w:rFonts w:ascii="Calibri" w:hAnsi="Calibri" w:cs="Calibri"/>
              </w:rPr>
            </w:pPr>
            <w:r w:rsidRPr="008472B2">
              <w:rPr>
                <w:rFonts w:ascii="Calibri" w:hAnsi="Calibri" w:cs="Calibri"/>
              </w:rPr>
              <w:t>$8,476.45</w:t>
            </w: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2A4262F6" w14:textId="77777777" w:rsidR="00CC0962" w:rsidRPr="008472B2" w:rsidRDefault="00CC0962" w:rsidP="00D176A1">
            <w:pPr>
              <w:rPr>
                <w:rFonts w:ascii="Calibri" w:hAnsi="Calibri" w:cs="Calibri"/>
              </w:rPr>
            </w:pPr>
            <w:r>
              <w:rPr>
                <w:rFonts w:ascii="Calibri" w:hAnsi="Calibri" w:cs="Calibri"/>
              </w:rPr>
              <w:t>12 cr.</w:t>
            </w:r>
          </w:p>
        </w:tc>
        <w:tc>
          <w:tcPr>
            <w:tcW w:w="1338" w:type="dxa"/>
            <w:tcBorders>
              <w:top w:val="nil"/>
              <w:left w:val="nil"/>
              <w:bottom w:val="single" w:sz="8" w:space="0" w:color="auto"/>
              <w:right w:val="single" w:sz="8" w:space="0" w:color="auto"/>
            </w:tcBorders>
            <w:tcMar>
              <w:top w:w="0" w:type="dxa"/>
              <w:left w:w="108" w:type="dxa"/>
              <w:bottom w:w="0" w:type="dxa"/>
              <w:right w:w="108" w:type="dxa"/>
            </w:tcMar>
          </w:tcPr>
          <w:p w14:paraId="4FDB503B" w14:textId="77777777" w:rsidR="00CC0962" w:rsidRDefault="00CC0962" w:rsidP="00D176A1">
            <w:pPr>
              <w:rPr>
                <w:rFonts w:ascii="Calibri" w:hAnsi="Calibri" w:cs="Calibri"/>
              </w:rPr>
            </w:pPr>
            <w:r>
              <w:rPr>
                <w:rFonts w:ascii="Calibri" w:hAnsi="Calibri" w:cs="Calibri"/>
              </w:rPr>
              <w:t>Yes</w:t>
            </w:r>
          </w:p>
        </w:tc>
      </w:tr>
      <w:tr w:rsidR="00CC0962" w:rsidRPr="008472B2" w14:paraId="7CB626FF" w14:textId="77777777" w:rsidTr="007F0B9E">
        <w:tc>
          <w:tcPr>
            <w:tcW w:w="9340" w:type="dxa"/>
            <w:gridSpan w:val="7"/>
            <w:tcBorders>
              <w:top w:val="nil"/>
              <w:left w:val="single" w:sz="8" w:space="0" w:color="auto"/>
              <w:bottom w:val="single" w:sz="8" w:space="0" w:color="auto"/>
              <w:right w:val="single" w:sz="8" w:space="0" w:color="auto"/>
            </w:tcBorders>
            <w:shd w:val="clear" w:color="auto" w:fill="EDEDEE" w:themeFill="background2" w:themeFillTint="33"/>
          </w:tcPr>
          <w:p w14:paraId="79F30FE8" w14:textId="6B578568" w:rsidR="00CC0962" w:rsidRPr="008472B2" w:rsidRDefault="00CC0962" w:rsidP="00D176A1">
            <w:pPr>
              <w:rPr>
                <w:rFonts w:ascii="Calibri" w:hAnsi="Calibri" w:cs="Calibri"/>
                <w:i/>
                <w:iCs/>
                <w:sz w:val="22"/>
              </w:rPr>
            </w:pPr>
            <w:r w:rsidRPr="00474AE8">
              <w:rPr>
                <w:rFonts w:ascii="Calibri" w:hAnsi="Calibri" w:cs="Calibri"/>
                <w:i/>
                <w:iCs/>
                <w:sz w:val="20"/>
              </w:rPr>
              <w:t>GA = Graduate Assistant, TA = Teaching Assistant, RA = Research Assistant, PA = Project Assistant</w:t>
            </w:r>
          </w:p>
        </w:tc>
      </w:tr>
      <w:tr w:rsidR="00CC0962" w:rsidRPr="008472B2" w14:paraId="54E0893B" w14:textId="77777777" w:rsidTr="0023025B">
        <w:tc>
          <w:tcPr>
            <w:tcW w:w="9340" w:type="dxa"/>
            <w:gridSpan w:val="7"/>
            <w:tcBorders>
              <w:top w:val="nil"/>
              <w:left w:val="single" w:sz="8" w:space="0" w:color="auto"/>
              <w:bottom w:val="single" w:sz="4" w:space="0" w:color="auto"/>
              <w:right w:val="single" w:sz="8" w:space="0" w:color="auto"/>
            </w:tcBorders>
            <w:shd w:val="clear" w:color="auto" w:fill="EDEDEE" w:themeFill="background2" w:themeFillTint="33"/>
          </w:tcPr>
          <w:p w14:paraId="7302FE3E" w14:textId="4DDB39EC" w:rsidR="00CC0962" w:rsidRPr="006A7335" w:rsidRDefault="00CC0962" w:rsidP="00D176A1">
            <w:pPr>
              <w:rPr>
                <w:rFonts w:ascii="Calibri" w:hAnsi="Calibri" w:cs="Calibri"/>
                <w:i/>
                <w:iCs/>
                <w:sz w:val="22"/>
                <w:szCs w:val="22"/>
              </w:rPr>
            </w:pPr>
            <w:r w:rsidRPr="00474AE8">
              <w:rPr>
                <w:rFonts w:ascii="Calibri" w:hAnsi="Calibri" w:cs="Calibri"/>
                <w:i/>
                <w:iCs/>
                <w:sz w:val="20"/>
                <w:szCs w:val="22"/>
              </w:rPr>
              <w:t>FTE=Full Time Equivalency</w:t>
            </w:r>
          </w:p>
        </w:tc>
      </w:tr>
      <w:tr w:rsidR="00CC0962" w:rsidRPr="008472B2" w14:paraId="4E4703B7" w14:textId="77777777" w:rsidTr="00427CD7">
        <w:tc>
          <w:tcPr>
            <w:tcW w:w="9340" w:type="dxa"/>
            <w:gridSpan w:val="7"/>
            <w:tcBorders>
              <w:top w:val="single" w:sz="4" w:space="0" w:color="auto"/>
              <w:left w:val="single" w:sz="8" w:space="0" w:color="auto"/>
              <w:bottom w:val="single" w:sz="8" w:space="0" w:color="auto"/>
              <w:right w:val="single" w:sz="8" w:space="0" w:color="auto"/>
            </w:tcBorders>
            <w:shd w:val="clear" w:color="auto" w:fill="EDEDEE" w:themeFill="background2" w:themeFillTint="33"/>
          </w:tcPr>
          <w:p w14:paraId="44FD8E40" w14:textId="277B18C1" w:rsidR="00CC0962" w:rsidRDefault="00CC0962" w:rsidP="00D176A1">
            <w:pPr>
              <w:rPr>
                <w:rFonts w:ascii="Calibri" w:hAnsi="Calibri" w:cs="Calibri"/>
                <w:i/>
                <w:iCs/>
                <w:sz w:val="22"/>
                <w:szCs w:val="22"/>
              </w:rPr>
            </w:pPr>
            <w:r w:rsidRPr="00474AE8">
              <w:rPr>
                <w:rFonts w:ascii="Calibri" w:hAnsi="Calibri" w:cs="Calibri"/>
                <w:i/>
                <w:iCs/>
                <w:sz w:val="20"/>
                <w:szCs w:val="22"/>
              </w:rPr>
              <w:t>Please note assistantship offer is contingent upon approval from OAP &amp; OGS, and class minimum enrollment</w:t>
            </w:r>
          </w:p>
        </w:tc>
      </w:tr>
    </w:tbl>
    <w:p w14:paraId="544EFF9E" w14:textId="039C8184" w:rsidR="00D176A1" w:rsidRPr="00D176A1" w:rsidRDefault="00034E63" w:rsidP="0033107B">
      <w:pPr>
        <w:rPr>
          <w:rFonts w:ascii="Calibri" w:hAnsi="Calibri" w:cs="Calibri"/>
        </w:rPr>
      </w:pPr>
      <w:r>
        <w:rPr>
          <w:rFonts w:ascii="Calibri" w:hAnsi="Calibri" w:cs="Calibri"/>
        </w:rPr>
        <w:t xml:space="preserve">This assistantship offer is an offer of employment and it provides a salary, tuition waiver, and health insurance. Based on current </w:t>
      </w:r>
      <w:r w:rsidR="00E46144">
        <w:rPr>
          <w:rFonts w:ascii="Calibri" w:hAnsi="Calibri" w:cs="Calibri"/>
        </w:rPr>
        <w:t xml:space="preserve">collective bargaining agreement </w:t>
      </w:r>
      <w:r w:rsidR="00E46144" w:rsidRPr="008472B2">
        <w:rPr>
          <w:rFonts w:ascii="Calibri" w:hAnsi="Calibri" w:cs="Calibri"/>
        </w:rPr>
        <w:t>graduate assistantship salary guidelines</w:t>
      </w:r>
      <w:r>
        <w:rPr>
          <w:rFonts w:ascii="Calibri" w:hAnsi="Calibri" w:cs="Calibri"/>
        </w:rPr>
        <w:t xml:space="preserve">, you will receive a stipend of </w:t>
      </w:r>
      <w:r w:rsidRPr="00034E63">
        <w:rPr>
          <w:rFonts w:ascii="Calibri" w:hAnsi="Calibri" w:cs="Calibri"/>
          <w:b/>
        </w:rPr>
        <w:t>$1,695.29 per month</w:t>
      </w:r>
      <w:r>
        <w:rPr>
          <w:rFonts w:ascii="Calibri" w:hAnsi="Calibri" w:cs="Calibri"/>
        </w:rPr>
        <w:t xml:space="preserve"> for approximately 20 hours of work per week (.5FTE). This totals to $8,476.45 for 18 weeks </w:t>
      </w:r>
      <w:r w:rsidR="00EE0EE1">
        <w:rPr>
          <w:rFonts w:ascii="Calibri" w:hAnsi="Calibri" w:cs="Calibri"/>
        </w:rPr>
        <w:t xml:space="preserve">each semester </w:t>
      </w:r>
      <w:r>
        <w:rPr>
          <w:rFonts w:ascii="Calibri" w:hAnsi="Calibri" w:cs="Calibri"/>
        </w:rPr>
        <w:t xml:space="preserve">(1 week before the term begins + 17 weeks of </w:t>
      </w:r>
      <w:r w:rsidR="00D176A1">
        <w:rPr>
          <w:rFonts w:ascii="Calibri" w:hAnsi="Calibri" w:cs="Calibri"/>
        </w:rPr>
        <w:t>term</w:t>
      </w:r>
      <w:r>
        <w:rPr>
          <w:rFonts w:ascii="Calibri" w:hAnsi="Calibri" w:cs="Calibri"/>
        </w:rPr>
        <w:t xml:space="preserve">). You </w:t>
      </w:r>
      <w:proofErr w:type="gramStart"/>
      <w:r>
        <w:rPr>
          <w:rFonts w:ascii="Calibri" w:hAnsi="Calibri" w:cs="Calibri"/>
        </w:rPr>
        <w:t>will be assigned</w:t>
      </w:r>
      <w:proofErr w:type="gramEnd"/>
      <w:r>
        <w:rPr>
          <w:rFonts w:ascii="Calibri" w:hAnsi="Calibri" w:cs="Calibri"/>
        </w:rPr>
        <w:t xml:space="preserve"> to assist one or more faculty members or instructors. </w:t>
      </w:r>
      <w:r w:rsidR="00E95D43">
        <w:rPr>
          <w:rFonts w:ascii="Calibri" w:hAnsi="Calibri" w:cs="Calibri"/>
        </w:rPr>
        <w:t>The assistantship contract</w:t>
      </w:r>
      <w:r w:rsidR="00CD6D76">
        <w:rPr>
          <w:rFonts w:ascii="Calibri" w:hAnsi="Calibri" w:cs="Calibri"/>
        </w:rPr>
        <w:t xml:space="preserve"> also</w:t>
      </w:r>
      <w:r w:rsidR="00E95D43">
        <w:rPr>
          <w:rFonts w:ascii="Calibri" w:hAnsi="Calibri" w:cs="Calibri"/>
        </w:rPr>
        <w:t xml:space="preserve"> covers </w:t>
      </w:r>
      <w:r w:rsidR="0033107B">
        <w:rPr>
          <w:rFonts w:ascii="Calibri" w:hAnsi="Calibri" w:cs="Calibri"/>
        </w:rPr>
        <w:t xml:space="preserve">12 </w:t>
      </w:r>
      <w:r w:rsidR="00E95D43">
        <w:rPr>
          <w:rFonts w:ascii="Calibri" w:hAnsi="Calibri" w:cs="Calibri"/>
        </w:rPr>
        <w:t xml:space="preserve">credits of tuition per </w:t>
      </w:r>
      <w:r>
        <w:rPr>
          <w:rFonts w:ascii="Calibri" w:hAnsi="Calibri" w:cs="Calibri"/>
        </w:rPr>
        <w:t xml:space="preserve">semester and will pay for </w:t>
      </w:r>
      <w:r w:rsidR="00E95D43">
        <w:rPr>
          <w:rFonts w:ascii="Calibri" w:hAnsi="Calibri" w:cs="Calibri"/>
        </w:rPr>
        <w:t>health insurance. The total value of the assistantship contract, including salary, health i</w:t>
      </w:r>
      <w:r>
        <w:rPr>
          <w:rFonts w:ascii="Calibri" w:hAnsi="Calibri" w:cs="Calibri"/>
        </w:rPr>
        <w:t xml:space="preserve">nsurance, and tuition, is over </w:t>
      </w:r>
      <w:r w:rsidR="00E95D43">
        <w:rPr>
          <w:rFonts w:ascii="Calibri" w:hAnsi="Calibri" w:cs="Calibri"/>
        </w:rPr>
        <w:t>$</w:t>
      </w:r>
      <w:r>
        <w:rPr>
          <w:rFonts w:ascii="Calibri" w:hAnsi="Calibri" w:cs="Calibri"/>
        </w:rPr>
        <w:t xml:space="preserve">15,000 per semester, or more than $30,000 for each </w:t>
      </w:r>
      <w:r w:rsidR="00E95D43">
        <w:rPr>
          <w:rFonts w:ascii="Calibri" w:hAnsi="Calibri" w:cs="Calibri"/>
        </w:rPr>
        <w:t>academic year.</w:t>
      </w:r>
    </w:p>
    <w:p w14:paraId="69DF9365" w14:textId="77777777" w:rsidR="00D176A1" w:rsidRDefault="00D176A1" w:rsidP="0033107B">
      <w:pPr>
        <w:rPr>
          <w:rFonts w:ascii="Calibri" w:hAnsi="Calibri" w:cs="Calibri"/>
        </w:rPr>
      </w:pPr>
    </w:p>
    <w:p w14:paraId="61D8FFD1" w14:textId="77777777" w:rsidR="00D176A1" w:rsidRDefault="0033107B" w:rsidP="005658FF">
      <w:pPr>
        <w:rPr>
          <w:rFonts w:ascii="Calibri" w:hAnsi="Calibri" w:cs="Calibri"/>
        </w:rPr>
      </w:pPr>
      <w:r>
        <w:rPr>
          <w:rFonts w:ascii="Calibri" w:hAnsi="Calibri" w:cs="Calibri"/>
        </w:rPr>
        <w:t xml:space="preserve">Students </w:t>
      </w:r>
      <w:proofErr w:type="gramStart"/>
      <w:r>
        <w:rPr>
          <w:rFonts w:ascii="Calibri" w:hAnsi="Calibri" w:cs="Calibri"/>
        </w:rPr>
        <w:t>are expected</w:t>
      </w:r>
      <w:proofErr w:type="gramEnd"/>
      <w:r>
        <w:rPr>
          <w:rFonts w:ascii="Calibri" w:hAnsi="Calibri" w:cs="Calibri"/>
        </w:rPr>
        <w:t xml:space="preserve"> to be physically present o</w:t>
      </w:r>
      <w:r w:rsidR="00EE0EE1">
        <w:rPr>
          <w:rFonts w:ascii="Calibri" w:hAnsi="Calibri" w:cs="Calibri"/>
        </w:rPr>
        <w:t>n their contract start date and throughout their assistantship</w:t>
      </w:r>
      <w:r>
        <w:rPr>
          <w:rFonts w:ascii="Calibri" w:hAnsi="Calibri" w:cs="Calibri"/>
        </w:rPr>
        <w:t>, and to fulfill the amount of hours assigned per week (FTE). Students assigned to online courses must request special approval to work remotely. Evaluation may result in termination of assistantship contract.</w:t>
      </w:r>
      <w:r w:rsidR="001246BC">
        <w:rPr>
          <w:rFonts w:ascii="Calibri" w:hAnsi="Calibri" w:cs="Calibri"/>
        </w:rPr>
        <w:t xml:space="preserve"> </w:t>
      </w:r>
      <w:r w:rsidR="001246BC" w:rsidRPr="008472B2">
        <w:rPr>
          <w:rFonts w:ascii="Calibri" w:hAnsi="Calibri" w:cs="Calibri"/>
        </w:rPr>
        <w:t xml:space="preserve">All funding is contingent upon available departmental funds each semester. </w:t>
      </w:r>
      <w:r w:rsidR="001246BC" w:rsidRPr="0045530E">
        <w:rPr>
          <w:rFonts w:ascii="Calibri" w:hAnsi="Calibri" w:cs="Calibri"/>
          <w:b/>
        </w:rPr>
        <w:t xml:space="preserve">Please be aware that Graduate Assistantship positions </w:t>
      </w:r>
      <w:proofErr w:type="gramStart"/>
      <w:r w:rsidR="001246BC" w:rsidRPr="0045530E">
        <w:rPr>
          <w:rFonts w:ascii="Calibri" w:hAnsi="Calibri" w:cs="Calibri"/>
          <w:b/>
        </w:rPr>
        <w:t>may be cancelled</w:t>
      </w:r>
      <w:proofErr w:type="gramEnd"/>
      <w:r w:rsidR="001246BC" w:rsidRPr="0045530E">
        <w:rPr>
          <w:rFonts w:ascii="Calibri" w:hAnsi="Calibri" w:cs="Calibri"/>
          <w:b/>
        </w:rPr>
        <w:t xml:space="preserve"> if the class you are assigned to does not make the minimum enrollment threshold of 15 students.</w:t>
      </w:r>
    </w:p>
    <w:p w14:paraId="59361C35" w14:textId="77564987" w:rsidR="0045530E" w:rsidRDefault="0045530E" w:rsidP="005658FF">
      <w:pPr>
        <w:rPr>
          <w:rFonts w:ascii="Calibri" w:hAnsi="Calibri" w:cs="Calibri"/>
        </w:rPr>
      </w:pPr>
      <w:r w:rsidRPr="0045530E">
        <w:rPr>
          <w:rFonts w:ascii="Calibri" w:hAnsi="Calibri" w:cs="Calibri"/>
        </w:rPr>
        <w:lastRenderedPageBreak/>
        <w:t xml:space="preserve">The offer of </w:t>
      </w:r>
      <w:r w:rsidR="000540FA">
        <w:rPr>
          <w:rFonts w:ascii="Calibri" w:hAnsi="Calibri" w:cs="Calibri"/>
        </w:rPr>
        <w:t>a graduate</w:t>
      </w:r>
      <w:r w:rsidR="00EE0EE1">
        <w:rPr>
          <w:rFonts w:ascii="Calibri" w:hAnsi="Calibri" w:cs="Calibri"/>
        </w:rPr>
        <w:t xml:space="preserve"> assistantship is tentative,</w:t>
      </w:r>
      <w:r w:rsidR="007A59DB">
        <w:rPr>
          <w:rFonts w:ascii="Calibri" w:hAnsi="Calibri" w:cs="Calibri"/>
        </w:rPr>
        <w:t xml:space="preserve"> and</w:t>
      </w:r>
      <w:r w:rsidR="00EE0EE1">
        <w:rPr>
          <w:rFonts w:ascii="Calibri" w:hAnsi="Calibri" w:cs="Calibri"/>
        </w:rPr>
        <w:t xml:space="preserve"> </w:t>
      </w:r>
      <w:r w:rsidR="00E95D43">
        <w:rPr>
          <w:rFonts w:ascii="Calibri" w:hAnsi="Calibri" w:cs="Calibri"/>
        </w:rPr>
        <w:t>subject to the provisions of the collective bargaining agreement</w:t>
      </w:r>
      <w:r w:rsidR="007A59DB">
        <w:rPr>
          <w:rFonts w:ascii="Calibri" w:hAnsi="Calibri" w:cs="Calibri"/>
        </w:rPr>
        <w:t xml:space="preserve"> (CBA)</w:t>
      </w:r>
      <w:r w:rsidR="00E95D43">
        <w:rPr>
          <w:rFonts w:ascii="Calibri" w:hAnsi="Calibri" w:cs="Calibri"/>
        </w:rPr>
        <w:t xml:space="preserve"> between the University of New Mexico</w:t>
      </w:r>
      <w:r w:rsidR="007A59DB">
        <w:rPr>
          <w:rFonts w:ascii="Calibri" w:hAnsi="Calibri" w:cs="Calibri"/>
        </w:rPr>
        <w:t xml:space="preserve"> (UNM)</w:t>
      </w:r>
      <w:r w:rsidR="00E95D43">
        <w:rPr>
          <w:rFonts w:ascii="Calibri" w:hAnsi="Calibri" w:cs="Calibri"/>
        </w:rPr>
        <w:t xml:space="preserve"> and United Electrical, Radio and Machine Workers of America</w:t>
      </w:r>
      <w:r w:rsidR="007A59DB">
        <w:rPr>
          <w:rFonts w:ascii="Calibri" w:hAnsi="Calibri" w:cs="Calibri"/>
        </w:rPr>
        <w:t xml:space="preserve"> (UE). The contract offer is </w:t>
      </w:r>
      <w:r w:rsidR="00E46144">
        <w:rPr>
          <w:rFonts w:ascii="Calibri" w:hAnsi="Calibri" w:cs="Calibri"/>
        </w:rPr>
        <w:t xml:space="preserve">also </w:t>
      </w:r>
      <w:r w:rsidR="00EE0EE1" w:rsidRPr="0045530E">
        <w:rPr>
          <w:rFonts w:ascii="Calibri" w:hAnsi="Calibri" w:cs="Calibri"/>
        </w:rPr>
        <w:t>subject</w:t>
      </w:r>
      <w:r w:rsidR="007A59DB">
        <w:rPr>
          <w:rFonts w:ascii="Calibri" w:hAnsi="Calibri" w:cs="Calibri"/>
        </w:rPr>
        <w:t xml:space="preserve"> to review and final approval from</w:t>
      </w:r>
      <w:r w:rsidR="00EE0EE1" w:rsidRPr="0045530E">
        <w:rPr>
          <w:rFonts w:ascii="Calibri" w:hAnsi="Calibri" w:cs="Calibri"/>
        </w:rPr>
        <w:t xml:space="preserve"> the dean or designee of </w:t>
      </w:r>
      <w:r w:rsidR="00EE0EE1">
        <w:rPr>
          <w:rFonts w:ascii="Calibri" w:hAnsi="Calibri" w:cs="Calibri"/>
        </w:rPr>
        <w:t>the Office of Graduate Studies and the Office of Academic Personnel Labor Relations</w:t>
      </w:r>
      <w:r w:rsidR="00E95D43">
        <w:rPr>
          <w:rFonts w:ascii="Calibri" w:hAnsi="Calibri" w:cs="Calibri"/>
        </w:rPr>
        <w:t xml:space="preserve">. </w:t>
      </w:r>
      <w:r w:rsidR="00E95D43" w:rsidRPr="0045530E">
        <w:rPr>
          <w:rFonts w:ascii="Calibri" w:hAnsi="Calibri" w:cs="Calibri"/>
        </w:rPr>
        <w:t xml:space="preserve">Should you accept our offer of admission to our graduate program, we will request their decision, and </w:t>
      </w:r>
      <w:r w:rsidR="00EE0EE1">
        <w:rPr>
          <w:rFonts w:ascii="Calibri" w:hAnsi="Calibri" w:cs="Calibri"/>
        </w:rPr>
        <w:t xml:space="preserve">you will </w:t>
      </w:r>
      <w:r w:rsidR="007A59DB">
        <w:rPr>
          <w:rFonts w:ascii="Calibri" w:hAnsi="Calibri" w:cs="Calibri"/>
        </w:rPr>
        <w:t xml:space="preserve">then receive </w:t>
      </w:r>
      <w:r w:rsidR="00E95D43" w:rsidRPr="0045530E">
        <w:rPr>
          <w:rFonts w:ascii="Calibri" w:hAnsi="Calibri" w:cs="Calibri"/>
        </w:rPr>
        <w:t>you</w:t>
      </w:r>
      <w:r w:rsidR="00E46144">
        <w:rPr>
          <w:rFonts w:ascii="Calibri" w:hAnsi="Calibri" w:cs="Calibri"/>
        </w:rPr>
        <w:t xml:space="preserve">r official employment contract. </w:t>
      </w:r>
    </w:p>
    <w:p w14:paraId="3F7E54F6" w14:textId="487DACBF" w:rsidR="00E46144" w:rsidRDefault="00E46144" w:rsidP="005658FF">
      <w:pPr>
        <w:rPr>
          <w:rFonts w:ascii="Calibri" w:hAnsi="Calibri" w:cs="Calibri"/>
        </w:rPr>
      </w:pPr>
    </w:p>
    <w:p w14:paraId="79884A26" w14:textId="4C813E24" w:rsidR="0086465B" w:rsidRPr="008472B2" w:rsidRDefault="00D176A1" w:rsidP="005658FF">
      <w:pPr>
        <w:rPr>
          <w:rFonts w:ascii="Calibri" w:hAnsi="Calibri" w:cs="Calibri"/>
        </w:rPr>
      </w:pPr>
      <w:r w:rsidRPr="00D176A1">
        <w:rPr>
          <w:rFonts w:ascii="Calibri" w:hAnsi="Calibri" w:cs="Calibri"/>
        </w:rPr>
        <w:t xml:space="preserve">The table </w:t>
      </w:r>
      <w:r>
        <w:rPr>
          <w:rFonts w:ascii="Calibri" w:hAnsi="Calibri" w:cs="Calibri"/>
        </w:rPr>
        <w:t>above</w:t>
      </w:r>
      <w:r w:rsidRPr="00D176A1">
        <w:rPr>
          <w:rFonts w:ascii="Calibri" w:hAnsi="Calibri" w:cs="Calibri"/>
        </w:rPr>
        <w:t xml:space="preserve"> contains the </w:t>
      </w:r>
      <w:proofErr w:type="gramStart"/>
      <w:r w:rsidRPr="00D176A1">
        <w:rPr>
          <w:rFonts w:ascii="Calibri" w:hAnsi="Calibri" w:cs="Calibri"/>
        </w:rPr>
        <w:t>Spring</w:t>
      </w:r>
      <w:proofErr w:type="gramEnd"/>
      <w:r w:rsidRPr="00D176A1">
        <w:rPr>
          <w:rFonts w:ascii="Calibri" w:hAnsi="Calibri" w:cs="Calibri"/>
        </w:rPr>
        <w:t xml:space="preserve"> 2023 rates and may be revised upward as those rates change each semester</w:t>
      </w:r>
      <w:r w:rsidRPr="00D176A1">
        <w:rPr>
          <w:rFonts w:ascii="Calibri" w:hAnsi="Calibri" w:cs="Calibri"/>
          <w:i/>
          <w:sz w:val="20"/>
          <w:szCs w:val="20"/>
        </w:rPr>
        <w:t>.</w:t>
      </w:r>
      <w:r>
        <w:rPr>
          <w:rFonts w:ascii="Calibri" w:hAnsi="Calibri" w:cs="Calibri"/>
          <w:i/>
          <w:sz w:val="20"/>
          <w:szCs w:val="20"/>
        </w:rPr>
        <w:t xml:space="preserve"> </w:t>
      </w:r>
      <w:r w:rsidR="0033107B">
        <w:rPr>
          <w:rFonts w:ascii="Calibri" w:hAnsi="Calibri" w:cs="Calibri"/>
        </w:rPr>
        <w:t>For information on rates and additional details of your contractual rights and responsibilities as an assistantship holder, please visit the collective bargaining agreement between the University of New Mexico (UNM) and United Electrical, Radio and Machine Workers of America (UE):</w:t>
      </w:r>
      <w:r w:rsidR="0033107B">
        <w:rPr>
          <w:rFonts w:ascii="Calibri" w:hAnsi="Calibri" w:cs="Calibri"/>
        </w:rPr>
        <w:br/>
      </w:r>
      <w:hyperlink r:id="rId7" w:history="1">
        <w:r w:rsidR="0033107B" w:rsidRPr="00AD07F2">
          <w:rPr>
            <w:rStyle w:val="Hyperlink"/>
            <w:rFonts w:ascii="Calibri" w:hAnsi="Calibri" w:cs="Calibri"/>
          </w:rPr>
          <w:t>https://provost.unm.edu/academic-unionization/graduate-assistant-union/docs/cba-toc-agreement.pdf</w:t>
        </w:r>
      </w:hyperlink>
    </w:p>
    <w:p w14:paraId="56752C54" w14:textId="77777777" w:rsidR="0033107B" w:rsidRDefault="0033107B" w:rsidP="005658FF">
      <w:pPr>
        <w:rPr>
          <w:rFonts w:ascii="Calibri" w:hAnsi="Calibri" w:cs="Calibri"/>
        </w:rPr>
      </w:pPr>
    </w:p>
    <w:p w14:paraId="454BAEFA" w14:textId="77777777" w:rsidR="001246BC" w:rsidRPr="001246BC" w:rsidRDefault="001246BC" w:rsidP="001246BC">
      <w:pPr>
        <w:rPr>
          <w:rFonts w:ascii="Calibri" w:hAnsi="Calibri" w:cs="Calibri"/>
        </w:rPr>
      </w:pPr>
      <w:r w:rsidRPr="001246BC">
        <w:rPr>
          <w:rFonts w:ascii="Calibri" w:hAnsi="Calibri" w:cs="Calibri"/>
        </w:rPr>
        <w:t xml:space="preserve">For information on the student health care insurance plan, please visit the UNM Human Resources website:  </w:t>
      </w:r>
      <w:hyperlink r:id="rId8" w:history="1">
        <w:r w:rsidRPr="001246BC">
          <w:rPr>
            <w:rStyle w:val="Hyperlink"/>
            <w:rFonts w:ascii="Calibri" w:hAnsi="Calibri" w:cs="Calibri"/>
          </w:rPr>
          <w:t>https://hr.unm.edu/benefits/student-health-plan</w:t>
        </w:r>
      </w:hyperlink>
    </w:p>
    <w:p w14:paraId="03847DD2" w14:textId="77777777" w:rsidR="001246BC" w:rsidRPr="001246BC" w:rsidRDefault="001246BC" w:rsidP="001246BC">
      <w:pPr>
        <w:rPr>
          <w:rFonts w:ascii="Calibri" w:hAnsi="Calibri" w:cs="Calibri"/>
        </w:rPr>
      </w:pPr>
    </w:p>
    <w:p w14:paraId="09CF2CEF" w14:textId="77777777" w:rsidR="001246BC" w:rsidRDefault="001246BC" w:rsidP="005658FF">
      <w:pPr>
        <w:rPr>
          <w:rFonts w:ascii="Calibri" w:hAnsi="Calibri" w:cs="Calibri"/>
        </w:rPr>
      </w:pPr>
      <w:r>
        <w:rPr>
          <w:rFonts w:ascii="Calibri" w:hAnsi="Calibri" w:cs="Calibri"/>
        </w:rPr>
        <w:t>We l</w:t>
      </w:r>
      <w:r w:rsidRPr="001246BC">
        <w:rPr>
          <w:rFonts w:ascii="Calibri" w:hAnsi="Calibri" w:cs="Calibri"/>
        </w:rPr>
        <w:t xml:space="preserve">ook forward to your contributions to the mission of our department. Please </w:t>
      </w:r>
      <w:r>
        <w:rPr>
          <w:rFonts w:ascii="Calibri" w:hAnsi="Calibri" w:cs="Calibri"/>
        </w:rPr>
        <w:t>let us</w:t>
      </w:r>
      <w:r w:rsidRPr="001246BC">
        <w:rPr>
          <w:rFonts w:ascii="Calibri" w:hAnsi="Calibri" w:cs="Calibri"/>
        </w:rPr>
        <w:t xml:space="preserve"> know if you have any questions about this offer of employment.</w:t>
      </w:r>
    </w:p>
    <w:p w14:paraId="161E38D6" w14:textId="4A70BAFC" w:rsidR="006A7335" w:rsidRPr="006A7335" w:rsidRDefault="006A7335" w:rsidP="005658FF">
      <w:pPr>
        <w:rPr>
          <w:rFonts w:ascii="Calibri" w:hAnsi="Calibri" w:cs="Calibri"/>
        </w:rPr>
      </w:pPr>
    </w:p>
    <w:p w14:paraId="1302F64A" w14:textId="77777777" w:rsidR="006A7335" w:rsidRDefault="006A7335" w:rsidP="006A7335">
      <w:pPr>
        <w:rPr>
          <w:rFonts w:ascii="Calibri" w:hAnsi="Calibri" w:cs="Calibri"/>
          <w:b/>
          <w:u w:val="single"/>
        </w:rPr>
      </w:pPr>
      <w:r w:rsidRPr="008472B2">
        <w:rPr>
          <w:rFonts w:ascii="Calibri" w:hAnsi="Calibri" w:cs="Calibri"/>
          <w:b/>
          <w:u w:val="single"/>
        </w:rPr>
        <w:t>F</w:t>
      </w:r>
      <w:r>
        <w:rPr>
          <w:rFonts w:ascii="Calibri" w:hAnsi="Calibri" w:cs="Calibri"/>
          <w:b/>
          <w:u w:val="single"/>
        </w:rPr>
        <w:t>UNDING</w:t>
      </w:r>
    </w:p>
    <w:p w14:paraId="3EBD1ED2" w14:textId="2F9DA42D" w:rsidR="006A7335" w:rsidRPr="00552F15" w:rsidRDefault="006A7335" w:rsidP="006A7335">
      <w:pPr>
        <w:rPr>
          <w:rFonts w:ascii="Calibri" w:hAnsi="Calibri" w:cs="Calibri"/>
        </w:rPr>
      </w:pPr>
      <w:r w:rsidRPr="00552F15">
        <w:rPr>
          <w:rFonts w:ascii="Calibri" w:hAnsi="Calibri" w:cs="Calibri"/>
        </w:rPr>
        <w:t xml:space="preserve">If you receive a funding offer from another university (but you would still like to consider UNM), please email us and let us know the size and scope of the award offered to you. Sometimes we can leverage that to encourage the College to release additional funds. </w:t>
      </w:r>
      <w:proofErr w:type="gramStart"/>
      <w:r w:rsidRPr="00552F15">
        <w:rPr>
          <w:rFonts w:ascii="Calibri" w:hAnsi="Calibri" w:cs="Calibri"/>
        </w:rPr>
        <w:t>Also</w:t>
      </w:r>
      <w:proofErr w:type="gramEnd"/>
      <w:r w:rsidRPr="00552F15">
        <w:rPr>
          <w:rFonts w:ascii="Calibri" w:hAnsi="Calibri" w:cs="Calibri"/>
        </w:rPr>
        <w:t>, many universities have signed an agreement to allow students all options and make decisions by April 15</w:t>
      </w:r>
      <w:r w:rsidRPr="00552F15">
        <w:rPr>
          <w:rFonts w:ascii="Calibri" w:hAnsi="Calibri" w:cs="Calibri"/>
          <w:vertAlign w:val="superscript"/>
        </w:rPr>
        <w:t>th</w:t>
      </w:r>
      <w:r w:rsidRPr="00552F15">
        <w:rPr>
          <w:rFonts w:ascii="Calibri" w:hAnsi="Calibri" w:cs="Calibri"/>
        </w:rPr>
        <w:t>. Check with the university on its absolute deadline. It is possible other funding from UNM could be forthcoming but the timing on award periods does not always fit admission timing.</w:t>
      </w:r>
    </w:p>
    <w:p w14:paraId="7854241E" w14:textId="77777777" w:rsidR="006A7335" w:rsidRPr="008472B2" w:rsidRDefault="006A7335" w:rsidP="006A7335">
      <w:pPr>
        <w:rPr>
          <w:rFonts w:ascii="Calibri" w:hAnsi="Calibri" w:cs="Calibri"/>
        </w:rPr>
      </w:pPr>
    </w:p>
    <w:p w14:paraId="4EFA9E31" w14:textId="77777777" w:rsidR="006A7335" w:rsidRPr="008472B2" w:rsidRDefault="006A7335" w:rsidP="006A7335">
      <w:pPr>
        <w:rPr>
          <w:rFonts w:ascii="Calibri" w:hAnsi="Calibri" w:cs="Calibri"/>
        </w:rPr>
      </w:pPr>
      <w:r w:rsidRPr="008472B2">
        <w:rPr>
          <w:rFonts w:ascii="Calibri" w:hAnsi="Calibri" w:cs="Calibri"/>
        </w:rPr>
        <w:t xml:space="preserve">Here are some examples of funding for which you may wish apply (now and/or in the future), in addition to NSF (National Science Foundation) and other grants and fellowships: </w:t>
      </w:r>
    </w:p>
    <w:p w14:paraId="7F938B0C" w14:textId="77777777" w:rsidR="006A7335" w:rsidRPr="008472B2" w:rsidRDefault="006A7335" w:rsidP="006A7335">
      <w:pPr>
        <w:rPr>
          <w:rFonts w:ascii="Calibri" w:hAnsi="Calibri" w:cs="Calibri"/>
        </w:rPr>
      </w:pPr>
    </w:p>
    <w:p w14:paraId="5A4A55FA" w14:textId="72E7DE9A" w:rsidR="006A7335" w:rsidRPr="00E46144" w:rsidRDefault="006A7335" w:rsidP="006A7335">
      <w:pPr>
        <w:numPr>
          <w:ilvl w:val="0"/>
          <w:numId w:val="6"/>
        </w:numPr>
        <w:spacing w:line="259" w:lineRule="auto"/>
        <w:rPr>
          <w:rFonts w:ascii="Calibri" w:hAnsi="Calibri" w:cs="Calibri"/>
          <w:sz w:val="22"/>
          <w:szCs w:val="22"/>
        </w:rPr>
      </w:pPr>
      <w:r w:rsidRPr="00E46144">
        <w:rPr>
          <w:rFonts w:ascii="Calibri" w:hAnsi="Calibri" w:cs="Calibri"/>
          <w:b/>
          <w:i/>
          <w:sz w:val="22"/>
          <w:szCs w:val="22"/>
          <w:u w:val="single"/>
        </w:rPr>
        <w:t>Graduate Assistantships in our department</w:t>
      </w:r>
      <w:r w:rsidRPr="00E46144">
        <w:rPr>
          <w:rFonts w:ascii="Calibri" w:hAnsi="Calibri" w:cs="Calibri"/>
          <w:sz w:val="22"/>
          <w:szCs w:val="22"/>
        </w:rPr>
        <w:t xml:space="preserve"> are available every year on a competitive basis (a limited number). Students may apply every semester. Applicants for these awards </w:t>
      </w:r>
      <w:proofErr w:type="gramStart"/>
      <w:r w:rsidRPr="00E46144">
        <w:rPr>
          <w:rFonts w:ascii="Calibri" w:hAnsi="Calibri" w:cs="Calibri"/>
          <w:sz w:val="22"/>
          <w:szCs w:val="22"/>
        </w:rPr>
        <w:t>are ranked</w:t>
      </w:r>
      <w:proofErr w:type="gramEnd"/>
      <w:r w:rsidRPr="00E46144">
        <w:rPr>
          <w:rFonts w:ascii="Calibri" w:hAnsi="Calibri" w:cs="Calibri"/>
          <w:sz w:val="22"/>
          <w:szCs w:val="22"/>
        </w:rPr>
        <w:t xml:space="preserve"> each year according to the policy in subfield (see the Graduate Handbook). The faculty attempt to distribute these as widely and </w:t>
      </w:r>
      <w:proofErr w:type="gramStart"/>
      <w:r w:rsidRPr="00E46144">
        <w:rPr>
          <w:rFonts w:ascii="Calibri" w:hAnsi="Calibri" w:cs="Calibri"/>
          <w:sz w:val="22"/>
          <w:szCs w:val="22"/>
        </w:rPr>
        <w:t>fairly as</w:t>
      </w:r>
      <w:proofErr w:type="gramEnd"/>
      <w:r w:rsidRPr="00E46144">
        <w:rPr>
          <w:rFonts w:ascii="Calibri" w:hAnsi="Calibri" w:cs="Calibri"/>
          <w:sz w:val="22"/>
          <w:szCs w:val="22"/>
        </w:rPr>
        <w:t xml:space="preserve"> possible. Assistantships typically carry a 10-20 </w:t>
      </w:r>
      <w:proofErr w:type="spellStart"/>
      <w:r w:rsidRPr="00E46144">
        <w:rPr>
          <w:rFonts w:ascii="Calibri" w:hAnsi="Calibri" w:cs="Calibri"/>
          <w:sz w:val="22"/>
          <w:szCs w:val="22"/>
        </w:rPr>
        <w:t>hr</w:t>
      </w:r>
      <w:proofErr w:type="spellEnd"/>
      <w:r w:rsidR="00E46144" w:rsidRPr="00E46144">
        <w:rPr>
          <w:rFonts w:ascii="Calibri" w:hAnsi="Calibri" w:cs="Calibri"/>
          <w:sz w:val="22"/>
          <w:szCs w:val="22"/>
        </w:rPr>
        <w:t xml:space="preserve"> per week workload (.25 or .5 FTE</w:t>
      </w:r>
      <w:r w:rsidRPr="00E46144">
        <w:rPr>
          <w:rFonts w:ascii="Calibri" w:hAnsi="Calibri" w:cs="Calibri"/>
          <w:sz w:val="22"/>
          <w:szCs w:val="22"/>
        </w:rPr>
        <w:t xml:space="preserve">) with a salary stipend and include tuition and health insurance. You should be aware that these assignments </w:t>
      </w:r>
      <w:proofErr w:type="gramStart"/>
      <w:r w:rsidRPr="00E46144">
        <w:rPr>
          <w:rFonts w:ascii="Calibri" w:hAnsi="Calibri" w:cs="Calibri"/>
          <w:sz w:val="22"/>
          <w:szCs w:val="22"/>
        </w:rPr>
        <w:t>may</w:t>
      </w:r>
      <w:proofErr w:type="gramEnd"/>
      <w:r w:rsidRPr="00E46144">
        <w:rPr>
          <w:rFonts w:ascii="Calibri" w:hAnsi="Calibri" w:cs="Calibri"/>
          <w:sz w:val="22"/>
          <w:szCs w:val="22"/>
        </w:rPr>
        <w:t xml:space="preserve"> be cancelled if the class you are assigned to does not make the minimum enrollment threshold of 15.</w:t>
      </w:r>
    </w:p>
    <w:p w14:paraId="70D13328" w14:textId="77777777" w:rsidR="006A7335" w:rsidRPr="00E46144" w:rsidRDefault="006A7335" w:rsidP="006A7335">
      <w:pPr>
        <w:numPr>
          <w:ilvl w:val="0"/>
          <w:numId w:val="6"/>
        </w:numPr>
        <w:spacing w:line="259" w:lineRule="auto"/>
        <w:rPr>
          <w:rFonts w:ascii="Calibri" w:hAnsi="Calibri" w:cs="Calibri"/>
          <w:sz w:val="22"/>
          <w:szCs w:val="22"/>
        </w:rPr>
      </w:pPr>
      <w:r w:rsidRPr="00E46144">
        <w:rPr>
          <w:rFonts w:ascii="Calibri" w:hAnsi="Calibri" w:cs="Calibri"/>
          <w:b/>
          <w:i/>
          <w:sz w:val="22"/>
          <w:szCs w:val="22"/>
          <w:u w:val="single"/>
        </w:rPr>
        <w:lastRenderedPageBreak/>
        <w:t>An Interdepartmental Assistantship</w:t>
      </w:r>
      <w:r w:rsidRPr="00E46144">
        <w:rPr>
          <w:rFonts w:ascii="Calibri" w:hAnsi="Calibri" w:cs="Calibri"/>
          <w:sz w:val="22"/>
          <w:szCs w:val="22"/>
        </w:rPr>
        <w:t xml:space="preserve"> in other departments such as Biology, English, History, Math, Spanish or Portuguese, if you are qualified. These assistantships typically carry a 10-20 </w:t>
      </w:r>
      <w:proofErr w:type="spellStart"/>
      <w:r w:rsidRPr="00E46144">
        <w:rPr>
          <w:rFonts w:ascii="Calibri" w:hAnsi="Calibri" w:cs="Calibri"/>
          <w:sz w:val="22"/>
          <w:szCs w:val="22"/>
        </w:rPr>
        <w:t>hr</w:t>
      </w:r>
      <w:proofErr w:type="spellEnd"/>
      <w:r w:rsidRPr="00E46144">
        <w:rPr>
          <w:rFonts w:ascii="Calibri" w:hAnsi="Calibri" w:cs="Calibri"/>
          <w:sz w:val="22"/>
          <w:szCs w:val="22"/>
        </w:rPr>
        <w:t xml:space="preserve"> per week workload (.25 or .50 Full Time Equivalency [FTE]) with a salary stipend and include tuition and health insurance. They may be renewable for up to 5 years.</w:t>
      </w:r>
    </w:p>
    <w:p w14:paraId="24A46F7B" w14:textId="77777777" w:rsidR="006A7335" w:rsidRPr="00E46144" w:rsidRDefault="006A7335" w:rsidP="006A7335">
      <w:pPr>
        <w:numPr>
          <w:ilvl w:val="0"/>
          <w:numId w:val="6"/>
        </w:numPr>
        <w:spacing w:line="259" w:lineRule="auto"/>
        <w:rPr>
          <w:rFonts w:ascii="Calibri" w:hAnsi="Calibri" w:cs="Calibri"/>
          <w:sz w:val="22"/>
          <w:szCs w:val="22"/>
        </w:rPr>
      </w:pPr>
      <w:r w:rsidRPr="00E46144">
        <w:rPr>
          <w:rFonts w:ascii="Calibri" w:hAnsi="Calibri" w:cs="Calibri"/>
          <w:b/>
          <w:i/>
          <w:sz w:val="22"/>
          <w:szCs w:val="22"/>
          <w:u w:val="single"/>
        </w:rPr>
        <w:t>Part Time Teaching Assistant (PTTA)</w:t>
      </w:r>
      <w:r w:rsidRPr="00E46144">
        <w:rPr>
          <w:rFonts w:ascii="Calibri" w:hAnsi="Calibri" w:cs="Calibri"/>
          <w:sz w:val="22"/>
          <w:szCs w:val="22"/>
        </w:rPr>
        <w:t xml:space="preserve"> Applications </w:t>
      </w:r>
      <w:proofErr w:type="gramStart"/>
      <w:r w:rsidRPr="00E46144">
        <w:rPr>
          <w:rFonts w:ascii="Calibri" w:hAnsi="Calibri" w:cs="Calibri"/>
          <w:sz w:val="22"/>
          <w:szCs w:val="22"/>
        </w:rPr>
        <w:t>are accepted</w:t>
      </w:r>
      <w:proofErr w:type="gramEnd"/>
      <w:r w:rsidRPr="00E46144">
        <w:rPr>
          <w:rFonts w:ascii="Calibri" w:hAnsi="Calibri" w:cs="Calibri"/>
          <w:sz w:val="22"/>
          <w:szCs w:val="22"/>
        </w:rPr>
        <w:t xml:space="preserve"> every semester. These are available to students with a Master’s degree and/or teaching experience and are available on a </w:t>
      </w:r>
      <w:proofErr w:type="gramStart"/>
      <w:r w:rsidRPr="00E46144">
        <w:rPr>
          <w:rFonts w:ascii="Calibri" w:hAnsi="Calibri" w:cs="Calibri"/>
          <w:sz w:val="22"/>
          <w:szCs w:val="22"/>
        </w:rPr>
        <w:t>semester by semester</w:t>
      </w:r>
      <w:proofErr w:type="gramEnd"/>
      <w:r w:rsidRPr="00E46144">
        <w:rPr>
          <w:rFonts w:ascii="Calibri" w:hAnsi="Calibri" w:cs="Calibri"/>
          <w:sz w:val="22"/>
          <w:szCs w:val="22"/>
        </w:rPr>
        <w:t xml:space="preserve"> basis. These are usually 10 hours per week (.25 FTE) with a stipend set by the College of Arts &amp; Sciences, including </w:t>
      </w:r>
      <w:proofErr w:type="gramStart"/>
      <w:r w:rsidRPr="00E46144">
        <w:rPr>
          <w:rFonts w:ascii="Calibri" w:hAnsi="Calibri" w:cs="Calibri"/>
          <w:sz w:val="22"/>
          <w:szCs w:val="22"/>
        </w:rPr>
        <w:t>6</w:t>
      </w:r>
      <w:proofErr w:type="gramEnd"/>
      <w:r w:rsidRPr="00E46144">
        <w:rPr>
          <w:rFonts w:ascii="Calibri" w:hAnsi="Calibri" w:cs="Calibri"/>
          <w:sz w:val="22"/>
          <w:szCs w:val="22"/>
        </w:rPr>
        <w:t xml:space="preserve"> </w:t>
      </w:r>
      <w:proofErr w:type="spellStart"/>
      <w:r w:rsidRPr="00E46144">
        <w:rPr>
          <w:rFonts w:ascii="Calibri" w:hAnsi="Calibri" w:cs="Calibri"/>
          <w:sz w:val="22"/>
          <w:szCs w:val="22"/>
        </w:rPr>
        <w:t>hrs</w:t>
      </w:r>
      <w:proofErr w:type="spellEnd"/>
      <w:r w:rsidRPr="00E46144">
        <w:rPr>
          <w:rFonts w:ascii="Calibri" w:hAnsi="Calibri" w:cs="Calibri"/>
          <w:sz w:val="22"/>
          <w:szCs w:val="22"/>
        </w:rPr>
        <w:t xml:space="preserve"> tuition per semester and health insurance. You should be aware that these assignments </w:t>
      </w:r>
      <w:proofErr w:type="gramStart"/>
      <w:r w:rsidRPr="00E46144">
        <w:rPr>
          <w:rFonts w:ascii="Calibri" w:hAnsi="Calibri" w:cs="Calibri"/>
          <w:sz w:val="22"/>
          <w:szCs w:val="22"/>
        </w:rPr>
        <w:t>may</w:t>
      </w:r>
      <w:proofErr w:type="gramEnd"/>
      <w:r w:rsidRPr="00E46144">
        <w:rPr>
          <w:rFonts w:ascii="Calibri" w:hAnsi="Calibri" w:cs="Calibri"/>
          <w:sz w:val="22"/>
          <w:szCs w:val="22"/>
        </w:rPr>
        <w:t xml:space="preserve"> be cancelled if the class you are assigned to does not make the minimum enrollment threshold of 15.</w:t>
      </w:r>
    </w:p>
    <w:p w14:paraId="53559587" w14:textId="77777777" w:rsidR="006A7335" w:rsidRPr="00E46144" w:rsidRDefault="006A7335" w:rsidP="006A7335">
      <w:pPr>
        <w:numPr>
          <w:ilvl w:val="0"/>
          <w:numId w:val="6"/>
        </w:numPr>
        <w:spacing w:line="259" w:lineRule="auto"/>
        <w:rPr>
          <w:rFonts w:ascii="Calibri" w:hAnsi="Calibri" w:cs="Calibri"/>
          <w:sz w:val="22"/>
          <w:szCs w:val="22"/>
        </w:rPr>
      </w:pPr>
      <w:r w:rsidRPr="00E46144">
        <w:rPr>
          <w:rFonts w:ascii="Calibri" w:hAnsi="Calibri" w:cs="Calibri"/>
          <w:b/>
          <w:i/>
          <w:sz w:val="22"/>
          <w:szCs w:val="22"/>
          <w:u w:val="single"/>
        </w:rPr>
        <w:t>FAFSA federal aid</w:t>
      </w:r>
      <w:r w:rsidRPr="00E46144">
        <w:rPr>
          <w:rFonts w:ascii="Calibri" w:hAnsi="Calibri" w:cs="Calibri"/>
          <w:sz w:val="22"/>
          <w:szCs w:val="22"/>
        </w:rPr>
        <w:t xml:space="preserve"> Fill out a FAFSA form by the priority deadline each year so that you </w:t>
      </w:r>
      <w:proofErr w:type="gramStart"/>
      <w:r w:rsidRPr="00E46144">
        <w:rPr>
          <w:rFonts w:ascii="Calibri" w:hAnsi="Calibri" w:cs="Calibri"/>
          <w:sz w:val="22"/>
          <w:szCs w:val="22"/>
        </w:rPr>
        <w:t>can be considered</w:t>
      </w:r>
      <w:proofErr w:type="gramEnd"/>
      <w:r w:rsidRPr="00E46144">
        <w:rPr>
          <w:rFonts w:ascii="Calibri" w:hAnsi="Calibri" w:cs="Calibri"/>
          <w:sz w:val="22"/>
          <w:szCs w:val="22"/>
        </w:rPr>
        <w:t xml:space="preserve"> for work-study jobs, student loans, or other awards and scholarships that become available.</w:t>
      </w:r>
    </w:p>
    <w:p w14:paraId="15563FB3" w14:textId="77777777" w:rsidR="006A7335" w:rsidRPr="00E46144" w:rsidRDefault="006A7335" w:rsidP="006A7335">
      <w:pPr>
        <w:numPr>
          <w:ilvl w:val="0"/>
          <w:numId w:val="6"/>
        </w:numPr>
        <w:spacing w:line="259" w:lineRule="auto"/>
        <w:rPr>
          <w:rFonts w:ascii="Calibri" w:hAnsi="Calibri" w:cs="Calibri"/>
          <w:sz w:val="22"/>
          <w:szCs w:val="22"/>
        </w:rPr>
      </w:pPr>
      <w:r w:rsidRPr="00E46144">
        <w:rPr>
          <w:rFonts w:ascii="Calibri" w:hAnsi="Calibri" w:cs="Calibri"/>
          <w:b/>
          <w:i/>
          <w:sz w:val="22"/>
          <w:szCs w:val="22"/>
          <w:u w:val="single"/>
        </w:rPr>
        <w:t>Additional work opportunities</w:t>
      </w:r>
      <w:r w:rsidRPr="00E46144">
        <w:rPr>
          <w:rFonts w:ascii="Calibri" w:hAnsi="Calibri" w:cs="Calibri"/>
          <w:sz w:val="22"/>
          <w:szCs w:val="22"/>
        </w:rPr>
        <w:t xml:space="preserve"> Zimmerman Library hires assistants; the Center for Academic Program Support (CAPS) hires graduate students as tutors; and the Department of Biology provides lab assistantship positions to qualified applicants that may include tuition and/or healthcare.</w:t>
      </w:r>
    </w:p>
    <w:p w14:paraId="28D67FD5" w14:textId="48489BE6" w:rsidR="006A7335" w:rsidRPr="00E46144" w:rsidRDefault="006A7335" w:rsidP="006A7335">
      <w:pPr>
        <w:numPr>
          <w:ilvl w:val="0"/>
          <w:numId w:val="6"/>
        </w:numPr>
        <w:spacing w:line="259" w:lineRule="auto"/>
        <w:rPr>
          <w:rFonts w:ascii="Calibri" w:hAnsi="Calibri" w:cs="Calibri"/>
          <w:sz w:val="22"/>
          <w:szCs w:val="22"/>
        </w:rPr>
      </w:pPr>
      <w:r w:rsidRPr="00E46144">
        <w:rPr>
          <w:rFonts w:ascii="Calibri" w:hAnsi="Calibri" w:cs="Calibri"/>
          <w:b/>
          <w:i/>
          <w:sz w:val="22"/>
          <w:szCs w:val="22"/>
          <w:u w:val="single"/>
        </w:rPr>
        <w:t>Fellowships</w:t>
      </w:r>
      <w:r w:rsidRPr="00E46144">
        <w:rPr>
          <w:rFonts w:ascii="Calibri" w:hAnsi="Calibri" w:cs="Calibri"/>
          <w:sz w:val="22"/>
          <w:szCs w:val="22"/>
        </w:rPr>
        <w:t xml:space="preserve"> Latin American Studies, the Center for Regional Studies, and other organizations on campus may provide fellowship </w:t>
      </w:r>
      <w:r w:rsidR="00E46144" w:rsidRPr="00E46144">
        <w:rPr>
          <w:rFonts w:ascii="Calibri" w:hAnsi="Calibri" w:cs="Calibri"/>
          <w:sz w:val="22"/>
          <w:szCs w:val="22"/>
        </w:rPr>
        <w:t>opportunities, which</w:t>
      </w:r>
      <w:r w:rsidRPr="00E46144">
        <w:rPr>
          <w:rFonts w:ascii="Calibri" w:hAnsi="Calibri" w:cs="Calibri"/>
          <w:sz w:val="22"/>
          <w:szCs w:val="22"/>
        </w:rPr>
        <w:t xml:space="preserve"> </w:t>
      </w:r>
      <w:proofErr w:type="gramStart"/>
      <w:r w:rsidRPr="00E46144">
        <w:rPr>
          <w:rFonts w:ascii="Calibri" w:hAnsi="Calibri" w:cs="Calibri"/>
          <w:sz w:val="22"/>
          <w:szCs w:val="22"/>
        </w:rPr>
        <w:t>will be announced</w:t>
      </w:r>
      <w:proofErr w:type="gramEnd"/>
      <w:r w:rsidRPr="00E46144">
        <w:rPr>
          <w:rFonts w:ascii="Calibri" w:hAnsi="Calibri" w:cs="Calibri"/>
          <w:sz w:val="22"/>
          <w:szCs w:val="22"/>
        </w:rPr>
        <w:t xml:space="preserve"> through the Anthropology Graduate Listserv. </w:t>
      </w:r>
    </w:p>
    <w:p w14:paraId="47F2E4FF" w14:textId="77777777" w:rsidR="006A7335" w:rsidRPr="00E46144" w:rsidRDefault="006A7335" w:rsidP="006A7335">
      <w:pPr>
        <w:numPr>
          <w:ilvl w:val="0"/>
          <w:numId w:val="6"/>
        </w:numPr>
        <w:spacing w:line="259" w:lineRule="auto"/>
        <w:rPr>
          <w:rFonts w:ascii="Calibri" w:hAnsi="Calibri" w:cs="Calibri"/>
          <w:sz w:val="22"/>
          <w:szCs w:val="22"/>
        </w:rPr>
      </w:pPr>
      <w:r w:rsidRPr="00E46144">
        <w:rPr>
          <w:rFonts w:ascii="Calibri" w:hAnsi="Calibri" w:cs="Calibri"/>
          <w:b/>
          <w:i/>
          <w:sz w:val="22"/>
          <w:szCs w:val="22"/>
          <w:u w:val="single"/>
        </w:rPr>
        <w:t xml:space="preserve">Travel and Research awards </w:t>
      </w:r>
      <w:r w:rsidRPr="00E46144">
        <w:rPr>
          <w:rFonts w:ascii="Calibri" w:hAnsi="Calibri" w:cs="Calibri"/>
          <w:sz w:val="22"/>
          <w:szCs w:val="22"/>
        </w:rPr>
        <w:t>available from the Department, the Graduate and Professional Student Association (GPSA), and the office of Graduate Studies. The Department will issue a call for applications on the Anthropology Graduate Listserv.</w:t>
      </w:r>
    </w:p>
    <w:p w14:paraId="4C47E394" w14:textId="77777777" w:rsidR="006A7335" w:rsidRPr="00E46144" w:rsidRDefault="006A7335" w:rsidP="006A7335">
      <w:pPr>
        <w:rPr>
          <w:rFonts w:ascii="Calibri" w:hAnsi="Calibri" w:cs="Calibri"/>
          <w:sz w:val="22"/>
          <w:szCs w:val="22"/>
        </w:rPr>
      </w:pPr>
    </w:p>
    <w:p w14:paraId="0A9E7AE9" w14:textId="138DA9BB" w:rsidR="00E46144" w:rsidRDefault="006A7335" w:rsidP="006A7335">
      <w:pPr>
        <w:rPr>
          <w:rFonts w:ascii="Calibri" w:hAnsi="Calibri" w:cs="Calibri"/>
        </w:rPr>
      </w:pPr>
      <w:r w:rsidRPr="008472B2">
        <w:rPr>
          <w:rFonts w:ascii="Calibri" w:hAnsi="Calibri" w:cs="Calibri"/>
        </w:rPr>
        <w:t xml:space="preserve">All these funding sources are competitive and </w:t>
      </w:r>
      <w:r>
        <w:rPr>
          <w:rFonts w:ascii="Calibri" w:hAnsi="Calibri" w:cs="Calibri"/>
        </w:rPr>
        <w:t>not guaranteed</w:t>
      </w:r>
      <w:r w:rsidRPr="008472B2">
        <w:rPr>
          <w:rFonts w:ascii="Calibri" w:hAnsi="Calibri" w:cs="Calibri"/>
        </w:rPr>
        <w:t xml:space="preserve">. However, applying for as many opportunities as possible increases your chances immensely and students in our program have a very high success rate. </w:t>
      </w:r>
    </w:p>
    <w:p w14:paraId="680435EF" w14:textId="77777777" w:rsidR="00E46144" w:rsidRDefault="00E46144" w:rsidP="006A7335">
      <w:pPr>
        <w:rPr>
          <w:rFonts w:ascii="Calibri" w:hAnsi="Calibri" w:cs="Calibri"/>
        </w:rPr>
      </w:pPr>
    </w:p>
    <w:p w14:paraId="66A5A1A0" w14:textId="77777777" w:rsidR="00D176A1" w:rsidRDefault="00D176A1" w:rsidP="006A7335">
      <w:pPr>
        <w:rPr>
          <w:rFonts w:ascii="Calibri" w:hAnsi="Calibri" w:cs="Calibri"/>
        </w:rPr>
      </w:pPr>
    </w:p>
    <w:p w14:paraId="6F09172D" w14:textId="77777777" w:rsidR="00D176A1" w:rsidRDefault="00D176A1" w:rsidP="006A7335">
      <w:pPr>
        <w:rPr>
          <w:rFonts w:ascii="Calibri" w:hAnsi="Calibri" w:cs="Calibri"/>
        </w:rPr>
      </w:pPr>
    </w:p>
    <w:p w14:paraId="20D5B500" w14:textId="2DBF33D0" w:rsidR="006A7335" w:rsidRPr="008472B2" w:rsidRDefault="006A7335" w:rsidP="006A7335">
      <w:pPr>
        <w:rPr>
          <w:rFonts w:ascii="Calibri" w:hAnsi="Calibri" w:cs="Calibri"/>
        </w:rPr>
      </w:pPr>
      <w:r w:rsidRPr="008472B2">
        <w:rPr>
          <w:rFonts w:ascii="Calibri" w:hAnsi="Calibri" w:cs="Calibri"/>
        </w:rPr>
        <w:t>Sincerely,</w:t>
      </w:r>
    </w:p>
    <w:p w14:paraId="418D90A6" w14:textId="77777777" w:rsidR="006A7335" w:rsidRPr="008472B2" w:rsidRDefault="006A7335" w:rsidP="006A7335">
      <w:pPr>
        <w:rPr>
          <w:rFonts w:ascii="Calibri" w:hAnsi="Calibri" w:cs="Calibri"/>
        </w:rPr>
      </w:pPr>
    </w:p>
    <w:p w14:paraId="6EF30D5D" w14:textId="578FA18F" w:rsidR="006A7335" w:rsidRPr="008472B2" w:rsidRDefault="00474AE8" w:rsidP="006A7335">
      <w:pPr>
        <w:rPr>
          <w:rFonts w:ascii="Calibri" w:hAnsi="Calibri" w:cs="Calibri"/>
        </w:rPr>
      </w:pPr>
      <w:r>
        <w:rPr>
          <w:rFonts w:ascii="Calibri" w:hAnsi="Calibri" w:cs="Calibri"/>
        </w:rPr>
        <w:t>Faculty Signature ________________</w:t>
      </w:r>
    </w:p>
    <w:p w14:paraId="7D54998C" w14:textId="56E36351" w:rsidR="006A7335" w:rsidRPr="008472B2" w:rsidRDefault="00474AE8" w:rsidP="006A7335">
      <w:pPr>
        <w:rPr>
          <w:rFonts w:ascii="Calibri" w:hAnsi="Calibri" w:cs="Calibri"/>
        </w:rPr>
      </w:pPr>
      <w:r>
        <w:rPr>
          <w:rFonts w:ascii="Calibri" w:hAnsi="Calibri" w:cs="Calibri"/>
        </w:rPr>
        <w:t>Faculty Name ___________________</w:t>
      </w:r>
    </w:p>
    <w:p w14:paraId="31939E4D" w14:textId="77777777" w:rsidR="006A7335" w:rsidRPr="008472B2" w:rsidRDefault="006A7335" w:rsidP="006A7335">
      <w:pPr>
        <w:rPr>
          <w:rFonts w:ascii="Calibri" w:hAnsi="Calibri" w:cs="Calibri"/>
        </w:rPr>
      </w:pPr>
    </w:p>
    <w:p w14:paraId="072CAEFE" w14:textId="77777777" w:rsidR="006A7335" w:rsidRPr="008472B2" w:rsidRDefault="006A7335" w:rsidP="006A7335">
      <w:pPr>
        <w:rPr>
          <w:rFonts w:ascii="Calibri" w:hAnsi="Calibri" w:cs="Calibri"/>
        </w:rPr>
      </w:pPr>
    </w:p>
    <w:p w14:paraId="5841F088" w14:textId="77777777" w:rsidR="006A7335" w:rsidRPr="008472B2" w:rsidRDefault="006A7335" w:rsidP="006A7335">
      <w:pPr>
        <w:rPr>
          <w:rFonts w:ascii="Calibri" w:hAnsi="Calibri" w:cs="Calibri"/>
        </w:rPr>
      </w:pPr>
      <w:r w:rsidRPr="008472B2">
        <w:rPr>
          <w:rFonts w:ascii="Calibri" w:hAnsi="Calibri" w:cs="Calibri"/>
        </w:rPr>
        <w:t xml:space="preserve">CC: Manuel </w:t>
      </w:r>
      <w:proofErr w:type="spellStart"/>
      <w:r w:rsidRPr="008472B2">
        <w:rPr>
          <w:rFonts w:ascii="Calibri" w:hAnsi="Calibri" w:cs="Calibri"/>
        </w:rPr>
        <w:t>López-Aínza</w:t>
      </w:r>
      <w:proofErr w:type="spellEnd"/>
    </w:p>
    <w:p w14:paraId="74B57C53" w14:textId="37D9E7BF" w:rsidR="006A7335" w:rsidRPr="008472B2" w:rsidRDefault="006A7335" w:rsidP="006A7335">
      <w:pPr>
        <w:rPr>
          <w:rFonts w:ascii="Calibri" w:hAnsi="Calibri" w:cs="Calibri"/>
        </w:rPr>
      </w:pPr>
      <w:r>
        <w:rPr>
          <w:rFonts w:ascii="Calibri" w:hAnsi="Calibri" w:cs="Calibri"/>
        </w:rPr>
        <w:t>Graduate Program Academic Advisor</w:t>
      </w:r>
      <w:r w:rsidR="00474AE8">
        <w:rPr>
          <w:rFonts w:ascii="Calibri" w:hAnsi="Calibri" w:cs="Calibri"/>
        </w:rPr>
        <w:br/>
      </w:r>
      <w:hyperlink r:id="rId9" w:history="1">
        <w:r w:rsidR="00474AE8" w:rsidRPr="0047502F">
          <w:rPr>
            <w:rStyle w:val="Hyperlink"/>
            <w:rFonts w:ascii="Calibri" w:hAnsi="Calibri" w:cs="Calibri"/>
          </w:rPr>
          <w:t>mlopez12@unm.edu</w:t>
        </w:r>
      </w:hyperlink>
      <w:r w:rsidR="00474AE8">
        <w:rPr>
          <w:rFonts w:ascii="Calibri" w:hAnsi="Calibri" w:cs="Calibri"/>
        </w:rPr>
        <w:t xml:space="preserve"> | 505.277.2732</w:t>
      </w:r>
    </w:p>
    <w:p w14:paraId="716F8412" w14:textId="77777777" w:rsidR="006A7335" w:rsidRPr="008472B2" w:rsidRDefault="006A7335" w:rsidP="006A7335">
      <w:pPr>
        <w:rPr>
          <w:rFonts w:ascii="Calibri" w:hAnsi="Calibri" w:cs="Calibri"/>
        </w:rPr>
      </w:pPr>
    </w:p>
    <w:p w14:paraId="2308BA09" w14:textId="19C6B9EB" w:rsidR="006A7335" w:rsidRPr="0045530E" w:rsidRDefault="006A7335" w:rsidP="008472B2">
      <w:pPr>
        <w:rPr>
          <w:rFonts w:ascii="Calibri" w:hAnsi="Calibri" w:cs="Calibri"/>
        </w:rPr>
      </w:pPr>
      <w:r w:rsidRPr="008472B2">
        <w:rPr>
          <w:rFonts w:ascii="Calibri" w:hAnsi="Calibri" w:cs="Calibri"/>
        </w:rPr>
        <w:t>CC: email, student file</w:t>
      </w:r>
    </w:p>
    <w:sectPr w:rsidR="006A7335" w:rsidRPr="0045530E" w:rsidSect="001D0101">
      <w:headerReference w:type="default" r:id="rId10"/>
      <w:footerReference w:type="default" r:id="rId11"/>
      <w:pgSz w:w="12240" w:h="15840" w:code="1"/>
      <w:pgMar w:top="1863" w:right="1440" w:bottom="1440" w:left="1440" w:header="720" w:footer="432"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1C600" w14:textId="77777777" w:rsidR="004F674C" w:rsidRDefault="004F674C" w:rsidP="0014718F">
      <w:r>
        <w:separator/>
      </w:r>
    </w:p>
  </w:endnote>
  <w:endnote w:type="continuationSeparator" w:id="0">
    <w:p w14:paraId="79F6970C" w14:textId="77777777" w:rsidR="004F674C" w:rsidRDefault="004F674C" w:rsidP="0014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29226" w14:textId="7E52C54E" w:rsidR="00487B38" w:rsidRPr="00487B38" w:rsidRDefault="00487B38" w:rsidP="00A0348B">
    <w:pPr>
      <w:spacing w:line="240" w:lineRule="exact"/>
      <w:rPr>
        <w:rFonts w:ascii="Arial" w:hAnsi="Arial" w:cs="Arial"/>
        <w:b/>
        <w:bCs/>
        <w:color w:val="FFFFFF" w:themeColor="background1"/>
        <w:sz w:val="16"/>
        <w:szCs w:val="16"/>
      </w:rPr>
    </w:pPr>
    <w:proofErr w:type="gramStart"/>
    <w:r w:rsidRPr="00487B38">
      <w:rPr>
        <w:rFonts w:ascii="Arial" w:hAnsi="Arial" w:cs="Arial"/>
        <w:color w:val="FFFFFF" w:themeColor="background1"/>
        <w:sz w:val="16"/>
        <w:szCs w:val="16"/>
      </w:rPr>
      <w:t>505.277.</w:t>
    </w:r>
    <w:r w:rsidR="00A10103">
      <w:rPr>
        <w:rFonts w:ascii="Arial" w:hAnsi="Arial" w:cs="Arial"/>
        <w:color w:val="FFFFFF" w:themeColor="background1"/>
        <w:sz w:val="16"/>
        <w:szCs w:val="16"/>
      </w:rPr>
      <w:t>4524</w:t>
    </w:r>
    <w:r w:rsidRPr="00487B38">
      <w:rPr>
        <w:rFonts w:ascii="Arial" w:hAnsi="Arial" w:cs="Arial"/>
        <w:color w:val="FFFFFF" w:themeColor="background1"/>
        <w:sz w:val="16"/>
        <w:szCs w:val="16"/>
      </w:rPr>
      <w:t xml:space="preserve">  |</w:t>
    </w:r>
    <w:proofErr w:type="gramEnd"/>
    <w:r w:rsidRPr="00487B38">
      <w:rPr>
        <w:rFonts w:ascii="Arial" w:hAnsi="Arial" w:cs="Arial"/>
        <w:color w:val="FFFFFF" w:themeColor="background1"/>
        <w:sz w:val="16"/>
        <w:szCs w:val="16"/>
      </w:rPr>
      <w:t xml:space="preserve">  </w:t>
    </w:r>
    <w:r w:rsidR="00A10103">
      <w:rPr>
        <w:rFonts w:ascii="Arial" w:hAnsi="Arial" w:cs="Arial"/>
        <w:color w:val="FFFFFF" w:themeColor="background1"/>
        <w:sz w:val="16"/>
        <w:szCs w:val="16"/>
      </w:rPr>
      <w:t>Department of Anthropology</w:t>
    </w:r>
    <w:r w:rsidRPr="00487B38">
      <w:rPr>
        <w:rFonts w:ascii="Arial" w:hAnsi="Arial" w:cs="Arial"/>
        <w:color w:val="FFFFFF" w:themeColor="background1"/>
        <w:sz w:val="16"/>
        <w:szCs w:val="16"/>
      </w:rPr>
      <w:t xml:space="preserve">  |  1 Univers</w:t>
    </w:r>
    <w:r w:rsidR="00A10103">
      <w:rPr>
        <w:rFonts w:ascii="Arial" w:hAnsi="Arial" w:cs="Arial"/>
        <w:color w:val="FFFFFF" w:themeColor="background1"/>
        <w:sz w:val="16"/>
        <w:szCs w:val="16"/>
      </w:rPr>
      <w:t>ity of New Mexico  |  MSC01-1040</w:t>
    </w:r>
    <w:r w:rsidRPr="00487B38">
      <w:rPr>
        <w:rFonts w:ascii="Arial" w:hAnsi="Arial" w:cs="Arial"/>
        <w:color w:val="FFFFFF" w:themeColor="background1"/>
        <w:sz w:val="16"/>
        <w:szCs w:val="16"/>
      </w:rPr>
      <w:t xml:space="preserve">  |  Albuquerque, NM 87131</w:t>
    </w:r>
  </w:p>
  <w:p w14:paraId="75B29774" w14:textId="514A297A" w:rsidR="0014718F" w:rsidRPr="002444AF" w:rsidRDefault="00A10103" w:rsidP="00487B38">
    <w:pPr>
      <w:pStyle w:val="Footer"/>
      <w:spacing w:line="240" w:lineRule="exact"/>
      <w:jc w:val="center"/>
      <w:rPr>
        <w:color w:val="FFFFFF" w:themeColor="background1"/>
      </w:rPr>
    </w:pPr>
    <w:r>
      <w:rPr>
        <w:rFonts w:ascii="Arial" w:hAnsi="Arial" w:cs="Arial"/>
        <w:b/>
        <w:bCs/>
        <w:color w:val="FFFFFF" w:themeColor="background1"/>
        <w:sz w:val="16"/>
        <w:szCs w:val="16"/>
      </w:rPr>
      <w:t>anthropology.</w:t>
    </w:r>
    <w:r w:rsidR="002444AF" w:rsidRPr="002444AF">
      <w:rPr>
        <w:rFonts w:ascii="Arial" w:hAnsi="Arial" w:cs="Arial"/>
        <w:b/>
        <w:bCs/>
        <w:color w:val="FFFFFF" w:themeColor="background1"/>
        <w:sz w:val="16"/>
        <w:szCs w:val="16"/>
      </w:rPr>
      <w:t>unm.edu</w:t>
    </w:r>
    <w:r w:rsidR="003F0EE4" w:rsidRPr="002444AF">
      <w:rPr>
        <w:noProof/>
        <w:color w:val="FFFFFF" w:themeColor="background1"/>
      </w:rPr>
      <mc:AlternateContent>
        <mc:Choice Requires="wps">
          <w:drawing>
            <wp:anchor distT="0" distB="0" distL="114300" distR="114300" simplePos="0" relativeHeight="251657215" behindDoc="1" locked="0" layoutInCell="1" allowOverlap="1" wp14:anchorId="556F45CF" wp14:editId="0B0305A6">
              <wp:simplePos x="0" y="0"/>
              <wp:positionH relativeFrom="column">
                <wp:posOffset>-914400</wp:posOffset>
              </wp:positionH>
              <wp:positionV relativeFrom="paragraph">
                <wp:posOffset>-304800</wp:posOffset>
              </wp:positionV>
              <wp:extent cx="7772400" cy="731520"/>
              <wp:effectExtent l="0" t="0" r="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731520"/>
                      </a:xfrm>
                      <a:prstGeom prst="rect">
                        <a:avLst/>
                      </a:prstGeom>
                      <a:solidFill>
                        <a:srgbClr val="BA0C2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252B4" w14:textId="4BDC84E2" w:rsidR="00453FA8" w:rsidRPr="00453FA8" w:rsidRDefault="00453FA8" w:rsidP="00487B38">
                          <w:pPr>
                            <w:spacing w:line="240" w:lineRule="atLeast"/>
                            <w:rPr>
                              <w:rFonts w:ascii="Arial" w:hAnsi="Arial" w:cs="Arial"/>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F45CF" id="Rectangle 3" o:spid="_x0000_s1026" style="position:absolute;left:0;text-align:left;margin-left:-1in;margin-top:-24pt;width:612pt;height:57.6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" fillcolor="#ba0c2f" stroked="f" strokeweight="1pt">
              <v:path arrowok="t"/>
              <v:textbox>
                <w:txbxContent>
                  <w:p w14:paraId="031252B4" w14:textId="4BDC84E2" w:rsidR="00453FA8" w:rsidRPr="00453FA8" w:rsidRDefault="00453FA8" w:rsidP="00487B38">
                    <w:pPr>
                      <w:spacing w:line="240" w:lineRule="atLeast"/>
                      <w:rPr>
                        <w:rFonts w:ascii="Arial" w:hAnsi="Arial" w:cs="Arial"/>
                        <w:b/>
                        <w:bCs/>
                        <w:sz w:val="16"/>
                        <w:szCs w:val="16"/>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1AE0E" w14:textId="77777777" w:rsidR="004F674C" w:rsidRDefault="004F674C" w:rsidP="0014718F">
      <w:r>
        <w:separator/>
      </w:r>
    </w:p>
  </w:footnote>
  <w:footnote w:type="continuationSeparator" w:id="0">
    <w:p w14:paraId="5CD2B751" w14:textId="77777777" w:rsidR="004F674C" w:rsidRDefault="004F674C" w:rsidP="00147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4AA70" w14:textId="1CA0F04E" w:rsidR="00541565" w:rsidRDefault="00541565" w:rsidP="00541565">
    <w:pPr>
      <w:pStyle w:val="Header"/>
      <w:rPr>
        <w:sz w:val="20"/>
        <w:szCs w:val="20"/>
      </w:rPr>
    </w:pPr>
    <w:r>
      <w:rPr>
        <w:noProof/>
      </w:rPr>
      <w:drawing>
        <wp:anchor distT="0" distB="0" distL="114300" distR="114300" simplePos="0" relativeHeight="251658240" behindDoc="1" locked="0" layoutInCell="1" allowOverlap="1" wp14:anchorId="1C64677F" wp14:editId="2A08078C">
          <wp:simplePos x="0" y="0"/>
          <wp:positionH relativeFrom="column">
            <wp:posOffset>-64135</wp:posOffset>
          </wp:positionH>
          <wp:positionV relativeFrom="paragraph">
            <wp:posOffset>-231775</wp:posOffset>
          </wp:positionV>
          <wp:extent cx="2371725" cy="483211"/>
          <wp:effectExtent l="0" t="0" r="0" b="0"/>
          <wp:wrapNone/>
          <wp:docPr id="9" name="Picture 9" descr="C:\Users\mlopez12\AppData\Local\Microsoft\Windows\INetCache\Content.Word\LetterHe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lopez12\AppData\Local\Microsoft\Windows\INetCache\Content.Word\LetterHe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4832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E02AB1" w14:textId="77777777" w:rsidR="00541565" w:rsidRDefault="00541565" w:rsidP="00541565">
    <w:pPr>
      <w:pStyle w:val="Header"/>
      <w:rPr>
        <w:sz w:val="20"/>
        <w:szCs w:val="20"/>
      </w:rPr>
    </w:pPr>
  </w:p>
  <w:p w14:paraId="2DE74921" w14:textId="6A74C470" w:rsidR="00541565" w:rsidRPr="00541565" w:rsidRDefault="00541565" w:rsidP="00541565">
    <w:pPr>
      <w:pStyle w:val="Header"/>
      <w:rPr>
        <w:sz w:val="20"/>
        <w:szCs w:val="20"/>
      </w:rPr>
    </w:pPr>
    <w:r w:rsidRPr="00541565">
      <w:rPr>
        <w:sz w:val="20"/>
        <w:szCs w:val="20"/>
      </w:rPr>
      <w:t>MSC01 1040</w:t>
    </w:r>
  </w:p>
  <w:p w14:paraId="1CED4B96" w14:textId="292CE4FB" w:rsidR="00541565" w:rsidRPr="00541565" w:rsidRDefault="00541565" w:rsidP="00541565">
    <w:pPr>
      <w:pStyle w:val="Header"/>
      <w:rPr>
        <w:sz w:val="20"/>
        <w:szCs w:val="20"/>
      </w:rPr>
    </w:pPr>
    <w:r w:rsidRPr="00541565">
      <w:rPr>
        <w:sz w:val="20"/>
        <w:szCs w:val="20"/>
      </w:rPr>
      <w:t>1 University of New Mexico</w:t>
    </w:r>
  </w:p>
  <w:p w14:paraId="591D4772" w14:textId="564EFFE7" w:rsidR="0014718F" w:rsidRDefault="00541565" w:rsidP="00A0348B">
    <w:pPr>
      <w:pStyle w:val="Header"/>
      <w:rPr>
        <w:sz w:val="20"/>
        <w:szCs w:val="20"/>
      </w:rPr>
    </w:pPr>
    <w:r w:rsidRPr="00541565">
      <w:rPr>
        <w:sz w:val="20"/>
        <w:szCs w:val="20"/>
      </w:rPr>
      <w:t>Albuquerque, NM 87131</w:t>
    </w:r>
  </w:p>
  <w:p w14:paraId="2FBC33C9" w14:textId="77777777" w:rsidR="00541565" w:rsidRDefault="00541565" w:rsidP="00A0348B">
    <w:pPr>
      <w:pStyle w:val="Header"/>
      <w:rPr>
        <w:sz w:val="20"/>
        <w:szCs w:val="20"/>
      </w:rPr>
    </w:pPr>
  </w:p>
  <w:p w14:paraId="16FE3CFB" w14:textId="32761C10" w:rsidR="00541565" w:rsidRPr="00541565" w:rsidRDefault="00541565" w:rsidP="00A0348B">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2E1"/>
    <w:multiLevelType w:val="hybridMultilevel"/>
    <w:tmpl w:val="3ACC11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D565357"/>
    <w:multiLevelType w:val="singleLevel"/>
    <w:tmpl w:val="87400180"/>
    <w:lvl w:ilvl="0">
      <w:start w:val="1"/>
      <w:numFmt w:val="decimal"/>
      <w:lvlText w:val="%1."/>
      <w:lvlJc w:val="left"/>
      <w:pPr>
        <w:tabs>
          <w:tab w:val="num" w:pos="360"/>
        </w:tabs>
        <w:ind w:left="360" w:hanging="360"/>
      </w:pPr>
      <w:rPr>
        <w:rFonts w:ascii="Calibri" w:eastAsia="Times New Roman" w:hAnsi="Calibri" w:cs="Calibri" w:hint="default"/>
        <w:b w:val="0"/>
        <w:i w:val="0"/>
        <w:color w:val="000000"/>
        <w:sz w:val="24"/>
      </w:rPr>
    </w:lvl>
  </w:abstractNum>
  <w:abstractNum w:abstractNumId="2" w15:restartNumberingAfterBreak="0">
    <w:nsid w:val="4F9F3F48"/>
    <w:multiLevelType w:val="hybridMultilevel"/>
    <w:tmpl w:val="D2DCDD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DD765D"/>
    <w:multiLevelType w:val="singleLevel"/>
    <w:tmpl w:val="B3569B38"/>
    <w:lvl w:ilvl="0">
      <w:start w:val="1"/>
      <w:numFmt w:val="decimal"/>
      <w:lvlText w:val="%1."/>
      <w:lvlJc w:val="left"/>
      <w:pPr>
        <w:tabs>
          <w:tab w:val="num" w:pos="360"/>
        </w:tabs>
        <w:ind w:left="360" w:hanging="360"/>
      </w:pPr>
      <w:rPr>
        <w:rFonts w:ascii="Times New Roman" w:eastAsia="Times New Roman" w:hAnsi="Times New Roman" w:cs="Times New Roman"/>
        <w:color w:val="000000"/>
        <w:sz w:val="24"/>
      </w:rPr>
    </w:lvl>
  </w:abstractNum>
  <w:abstractNum w:abstractNumId="4" w15:restartNumberingAfterBreak="0">
    <w:nsid w:val="6E701649"/>
    <w:multiLevelType w:val="hybridMultilevel"/>
    <w:tmpl w:val="5712DC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AF3120A"/>
    <w:multiLevelType w:val="hybridMultilevel"/>
    <w:tmpl w:val="30161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8F"/>
    <w:rsid w:val="00016051"/>
    <w:rsid w:val="00034E63"/>
    <w:rsid w:val="000540FA"/>
    <w:rsid w:val="001246BC"/>
    <w:rsid w:val="00133E90"/>
    <w:rsid w:val="001356FD"/>
    <w:rsid w:val="00141A1B"/>
    <w:rsid w:val="0014718F"/>
    <w:rsid w:val="00193B8C"/>
    <w:rsid w:val="001946A0"/>
    <w:rsid w:val="001D0101"/>
    <w:rsid w:val="001D78B3"/>
    <w:rsid w:val="001F0B7F"/>
    <w:rsid w:val="00221789"/>
    <w:rsid w:val="002444AF"/>
    <w:rsid w:val="00263DDE"/>
    <w:rsid w:val="00300118"/>
    <w:rsid w:val="0033107B"/>
    <w:rsid w:val="00332F50"/>
    <w:rsid w:val="003517A2"/>
    <w:rsid w:val="00397119"/>
    <w:rsid w:val="003F0EE4"/>
    <w:rsid w:val="003F6F98"/>
    <w:rsid w:val="00437A90"/>
    <w:rsid w:val="0044292E"/>
    <w:rsid w:val="00453FA8"/>
    <w:rsid w:val="0045530E"/>
    <w:rsid w:val="00474AE8"/>
    <w:rsid w:val="00477F06"/>
    <w:rsid w:val="00487B38"/>
    <w:rsid w:val="004A2953"/>
    <w:rsid w:val="004F674C"/>
    <w:rsid w:val="00531B0D"/>
    <w:rsid w:val="00541565"/>
    <w:rsid w:val="0055265D"/>
    <w:rsid w:val="00552F15"/>
    <w:rsid w:val="005658FF"/>
    <w:rsid w:val="005B27D2"/>
    <w:rsid w:val="00601A8D"/>
    <w:rsid w:val="00640BAA"/>
    <w:rsid w:val="00664507"/>
    <w:rsid w:val="0067417A"/>
    <w:rsid w:val="0067645D"/>
    <w:rsid w:val="006A7335"/>
    <w:rsid w:val="006A7955"/>
    <w:rsid w:val="006D00FC"/>
    <w:rsid w:val="0072398B"/>
    <w:rsid w:val="00733110"/>
    <w:rsid w:val="007A59DB"/>
    <w:rsid w:val="007B1EC2"/>
    <w:rsid w:val="007D281D"/>
    <w:rsid w:val="007D4EBC"/>
    <w:rsid w:val="0080590C"/>
    <w:rsid w:val="00835411"/>
    <w:rsid w:val="008472B2"/>
    <w:rsid w:val="0086465B"/>
    <w:rsid w:val="008C70C2"/>
    <w:rsid w:val="00901DCD"/>
    <w:rsid w:val="009126F8"/>
    <w:rsid w:val="009A29EF"/>
    <w:rsid w:val="009B5793"/>
    <w:rsid w:val="00A0348B"/>
    <w:rsid w:val="00A10103"/>
    <w:rsid w:val="00A45A66"/>
    <w:rsid w:val="00A50252"/>
    <w:rsid w:val="00A713BC"/>
    <w:rsid w:val="00AD4C05"/>
    <w:rsid w:val="00B414F0"/>
    <w:rsid w:val="00B85772"/>
    <w:rsid w:val="00B85CB7"/>
    <w:rsid w:val="00BE02A9"/>
    <w:rsid w:val="00BE1C86"/>
    <w:rsid w:val="00C101A8"/>
    <w:rsid w:val="00CA10C0"/>
    <w:rsid w:val="00CC0962"/>
    <w:rsid w:val="00CD6D76"/>
    <w:rsid w:val="00D176A1"/>
    <w:rsid w:val="00D52D49"/>
    <w:rsid w:val="00D87735"/>
    <w:rsid w:val="00D925B1"/>
    <w:rsid w:val="00D9505E"/>
    <w:rsid w:val="00DE5234"/>
    <w:rsid w:val="00E20E6E"/>
    <w:rsid w:val="00E21816"/>
    <w:rsid w:val="00E24FF4"/>
    <w:rsid w:val="00E32D0D"/>
    <w:rsid w:val="00E46144"/>
    <w:rsid w:val="00E811D9"/>
    <w:rsid w:val="00E85B63"/>
    <w:rsid w:val="00E95D43"/>
    <w:rsid w:val="00EE0EE1"/>
    <w:rsid w:val="00EE42A3"/>
    <w:rsid w:val="00F065EC"/>
    <w:rsid w:val="00F34C6D"/>
    <w:rsid w:val="00F7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49C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18F"/>
    <w:pPr>
      <w:tabs>
        <w:tab w:val="center" w:pos="4680"/>
        <w:tab w:val="right" w:pos="9360"/>
      </w:tabs>
    </w:pPr>
  </w:style>
  <w:style w:type="character" w:customStyle="1" w:styleId="HeaderChar">
    <w:name w:val="Header Char"/>
    <w:basedOn w:val="DefaultParagraphFont"/>
    <w:link w:val="Header"/>
    <w:uiPriority w:val="99"/>
    <w:rsid w:val="0014718F"/>
  </w:style>
  <w:style w:type="paragraph" w:styleId="Footer">
    <w:name w:val="footer"/>
    <w:basedOn w:val="Normal"/>
    <w:link w:val="FooterChar"/>
    <w:uiPriority w:val="99"/>
    <w:unhideWhenUsed/>
    <w:rsid w:val="0014718F"/>
    <w:pPr>
      <w:tabs>
        <w:tab w:val="center" w:pos="4680"/>
        <w:tab w:val="right" w:pos="9360"/>
      </w:tabs>
    </w:pPr>
  </w:style>
  <w:style w:type="character" w:customStyle="1" w:styleId="FooterChar">
    <w:name w:val="Footer Char"/>
    <w:basedOn w:val="DefaultParagraphFont"/>
    <w:link w:val="Footer"/>
    <w:uiPriority w:val="99"/>
    <w:rsid w:val="0014718F"/>
  </w:style>
  <w:style w:type="paragraph" w:styleId="ListParagraph">
    <w:name w:val="List Paragraph"/>
    <w:basedOn w:val="Normal"/>
    <w:uiPriority w:val="34"/>
    <w:qFormat/>
    <w:rsid w:val="00BE1C86"/>
    <w:pPr>
      <w:ind w:left="720"/>
      <w:contextualSpacing/>
    </w:pPr>
  </w:style>
  <w:style w:type="character" w:styleId="Hyperlink">
    <w:name w:val="Hyperlink"/>
    <w:basedOn w:val="DefaultParagraphFont"/>
    <w:uiPriority w:val="99"/>
    <w:unhideWhenUsed/>
    <w:rsid w:val="0072398B"/>
    <w:rPr>
      <w:color w:val="0079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490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nm.edu/benefits/student-health-pl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vost.unm.edu/academic-unionization/graduate-assistant-union/docs/cba-toc-agreemen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lopez12@unm.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M Brand Color Palette">
      <a:dk1>
        <a:srgbClr val="BA0C2F"/>
      </a:dk1>
      <a:lt1>
        <a:srgbClr val="FFFFFF"/>
      </a:lt1>
      <a:dk2>
        <a:srgbClr val="626669"/>
      </a:dk2>
      <a:lt2>
        <a:srgbClr val="A7A8AA"/>
      </a:lt2>
      <a:accent1>
        <a:srgbClr val="BA0C2F"/>
      </a:accent1>
      <a:accent2>
        <a:srgbClr val="626669"/>
      </a:accent2>
      <a:accent3>
        <a:srgbClr val="007986"/>
      </a:accent3>
      <a:accent4>
        <a:srgbClr val="EC8A00"/>
      </a:accent4>
      <a:accent5>
        <a:srgbClr val="8A377B"/>
      </a:accent5>
      <a:accent6>
        <a:srgbClr val="A7AA19"/>
      </a:accent6>
      <a:hlink>
        <a:srgbClr val="007986"/>
      </a:hlink>
      <a:folHlink>
        <a:srgbClr val="A7AA1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Gregory Rule</dc:creator>
  <cp:keywords/>
  <dc:description/>
  <cp:lastModifiedBy>Manuel Lopez Ainza</cp:lastModifiedBy>
  <cp:revision>9</cp:revision>
  <cp:lastPrinted>2022-03-31T19:28:00Z</cp:lastPrinted>
  <dcterms:created xsi:type="dcterms:W3CDTF">2022-03-31T21:29:00Z</dcterms:created>
  <dcterms:modified xsi:type="dcterms:W3CDTF">2023-02-15T23:37:00Z</dcterms:modified>
</cp:coreProperties>
</file>